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附件四：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14415" cy="4137025"/>
            <wp:effectExtent l="0" t="0" r="635" b="15875"/>
            <wp:docPr id="1" name="图片 1" descr="附件四：川药招[2021]157号关于调整医用耗材和体外诊断试剂挂网目录范围的通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四：川药招[2021]157号关于调整医用耗材和体外诊断试剂挂网目录范围的通知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4415" cy="413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YTE5ZTMyMTcxNDU1NjViZjBkODMwNjYwMDlkOTUifQ=="/>
  </w:docVars>
  <w:rsids>
    <w:rsidRoot w:val="7DE87EED"/>
    <w:rsid w:val="2C1B426A"/>
    <w:rsid w:val="383C378C"/>
    <w:rsid w:val="7DE8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</Words>
  <Characters>4</Characters>
  <Lines>0</Lines>
  <Paragraphs>0</Paragraphs>
  <TotalTime>0</TotalTime>
  <ScaleCrop>false</ScaleCrop>
  <LinksUpToDate>false</LinksUpToDate>
  <CharactersWithSpaces>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2021-12-07T10:20:00Z</dcterms:created>
  <dc:creator>CGB</dc:creator>
  <cp:lastModifiedBy>CGB</cp:lastModifiedBy>
  <dcterms:modified xsi:type="dcterms:W3CDTF">2022-05-12T07:07:02Z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928E98B05DAF4F6F8D460570295D0D5E</vt:lpwstr>
  </property>
</Properties>
</file>