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05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833"/>
        <w:gridCol w:w="801"/>
        <w:gridCol w:w="697"/>
        <w:gridCol w:w="60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项目序号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申购科室名称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申购设备名称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进口/国产</w:t>
            </w:r>
          </w:p>
        </w:tc>
        <w:tc>
          <w:tcPr>
            <w:tcW w:w="6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功能需求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6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肿瘤内科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体腔热灌注治疗机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国产</w:t>
            </w:r>
          </w:p>
        </w:tc>
        <w:tc>
          <w:tcPr>
            <w:tcW w:w="6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1.工作电源:AC220±10%V 额定输出功率≤1500VA；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2.具备超温报警装置和超温自动保护装置。温度测量精度≤±0.2℃，温度测量范围:30~50℃；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3.采用非接触加热装置，加热快，无热惯性；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4.具备多路温度传感器，可实现多点精确控温；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5.流速调节可调节:0-600ml/min，精度调节≤</w:t>
            </w:r>
            <w:r>
              <w:rPr>
                <w:rStyle w:val="8"/>
                <w:lang w:val="en-US" w:eastAsia="zh-CN" w:bidi="ar"/>
              </w:rPr>
              <w:t>±</w:t>
            </w:r>
            <w:r>
              <w:rPr>
                <w:rStyle w:val="7"/>
                <w:lang w:val="en-US" w:eastAsia="zh-CN" w:bidi="ar"/>
              </w:rPr>
              <w:t>10%；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>6.配备独立控制的循环泵和灌注泵；可用U盘导出数据进行质量分析；设备所需的一次性耗材在市场上非专机专用，后期可以单独采购并能匹配设备正常使用；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1" w:hRule="atLeast"/>
        </w:trPr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肿瘤内科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后装治疗机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国产</w:t>
            </w:r>
          </w:p>
        </w:tc>
        <w:tc>
          <w:tcPr>
            <w:tcW w:w="6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1.放射源到位精度≤1mm,步长精度</w:t>
            </w:r>
            <w:r>
              <w:rPr>
                <w:rStyle w:val="8"/>
                <w:lang w:val="en-US" w:eastAsia="zh-CN" w:bidi="ar"/>
              </w:rPr>
              <w:t>&lt;</w:t>
            </w:r>
            <w:r>
              <w:rPr>
                <w:rStyle w:val="7"/>
                <w:lang w:val="en-US" w:eastAsia="zh-CN" w:bidi="ar"/>
              </w:rPr>
              <w:t>1mm，控制计时器平均误差:&lt;1%，放射源安全进出次数≥25000次；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>2.提供整套适合治疗不同病患的施源器；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>3.具备安全联锁，具有两种以上紧急回源措施；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>4.能进行三维近距离治疗计划设计、自适应放疗计划设计，支持在自适应计划中更改处方、导管、驻留点、权重信息并重新计算剂量，支持在横断面、冠状面和矢状面的自由勾画；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>5.全面兼容 DICOM-RT协议，</w:t>
            </w:r>
            <w:bookmarkStart w:id="0" w:name="_GoBack"/>
            <w:bookmarkEnd w:id="0"/>
            <w:r>
              <w:rPr>
                <w:rStyle w:val="7"/>
                <w:lang w:val="en-US" w:eastAsia="zh-CN" w:bidi="ar"/>
              </w:rPr>
              <w:t>CT图像和治疗计划可在不同品牌设备下导入和导出；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>6.设备配置要求:一台三维功能的后装治疗机主机(配备UPS电源)；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>7.三维近距离治疗计划系统:全面兼容DICOM-RT协议，CT图像和治疗计划可在不同品牌设备下导入和导出；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>8.施源器:包括一定数量的妇科施源器、直肠施源器、插值施源器、及软管施源器等；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>9.两台后装转运床；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>10.具备后装专用质控设备；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2MjMxMGQyODAyNmQ0ZTBlMmUxNzRmZTNhZjFiZTYifQ=="/>
  </w:docVars>
  <w:rsids>
    <w:rsidRoot w:val="08463CB0"/>
    <w:rsid w:val="08463CB0"/>
    <w:rsid w:val="61F86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eastAsia="宋体" w:cs="Arial"/>
      <w:b/>
      <w:bCs/>
      <w:kern w:val="28"/>
      <w:szCs w:val="32"/>
    </w:rPr>
  </w:style>
  <w:style w:type="character" w:customStyle="1" w:styleId="6">
    <w:name w:val="font41"/>
    <w:basedOn w:val="5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7">
    <w:name w:val="font0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5"/>
    <w:qFormat/>
    <w:uiPriority w:val="0"/>
    <w:rPr>
      <w:rFonts w:ascii="微软雅黑" w:hAnsi="微软雅黑" w:eastAsia="微软雅黑" w:cs="微软雅黑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2024-05-21T01:44:00Z</dcterms:created>
  <dc:creator>医学工程部-医工组</dc:creator>
  <cp:lastModifiedBy>医学工程部-医工组</cp:lastModifiedBy>
  <dcterms:modified xsi:type="dcterms:W3CDTF">2024-05-21T01:53:45Z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E536E51A68C74021A9556E97C2508EA9_11</vt:lpwstr>
  </property>
</Properties>
</file>