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ACCE">
      <w:pPr>
        <w:pStyle w:val="13"/>
        <w:jc w:val="center"/>
        <w:outlineLvl w:val="9"/>
        <w:rPr>
          <w:rFonts w:hint="eastAsia"/>
          <w:sz w:val="44"/>
          <w:szCs w:val="44"/>
        </w:rPr>
      </w:pPr>
      <w:r>
        <w:rPr>
          <w:rFonts w:hint="eastAsia"/>
          <w:sz w:val="44"/>
          <w:szCs w:val="44"/>
          <w:lang w:val="en-US" w:eastAsia="zh-CN"/>
        </w:rPr>
        <w:t>成都市第五人民</w:t>
      </w:r>
      <w:r>
        <w:rPr>
          <w:rFonts w:hint="eastAsia"/>
          <w:sz w:val="44"/>
          <w:szCs w:val="44"/>
        </w:rPr>
        <w:t>医院</w:t>
      </w:r>
    </w:p>
    <w:p w14:paraId="23C5F2F3">
      <w:pPr>
        <w:pStyle w:val="13"/>
        <w:jc w:val="center"/>
        <w:outlineLvl w:val="9"/>
        <w:rPr>
          <w:rFonts w:hint="eastAsia"/>
          <w:sz w:val="44"/>
          <w:szCs w:val="44"/>
          <w:lang w:val="en-US" w:eastAsia="zh-CN"/>
        </w:rPr>
      </w:pPr>
      <w:r>
        <w:rPr>
          <w:rFonts w:hint="eastAsia"/>
          <w:sz w:val="44"/>
          <w:szCs w:val="44"/>
        </w:rPr>
        <w:t>智慧医院一体化诊疗平台</w:t>
      </w:r>
      <w:r>
        <w:rPr>
          <w:rFonts w:hint="eastAsia"/>
          <w:sz w:val="44"/>
          <w:szCs w:val="44"/>
          <w:lang w:val="en-US" w:eastAsia="zh-CN"/>
        </w:rPr>
        <w:t>建设方案</w:t>
      </w:r>
    </w:p>
    <w:p w14:paraId="4DA77AB6">
      <w:pPr>
        <w:pStyle w:val="2"/>
        <w:numPr>
          <w:ilvl w:val="0"/>
          <w:numId w:val="1"/>
        </w:numPr>
        <w:bidi w:val="0"/>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项目概述</w:t>
      </w:r>
    </w:p>
    <w:p w14:paraId="79ECA1D0">
      <w:pPr>
        <w:pStyle w:val="3"/>
        <w:bidi w:val="0"/>
        <w:rPr>
          <w:rFonts w:hint="eastAsia" w:ascii="仿宋" w:hAnsi="仿宋" w:eastAsia="仿宋" w:cs="仿宋"/>
          <w:b/>
          <w:bCs/>
          <w:sz w:val="32"/>
          <w:szCs w:val="32"/>
          <w:lang w:val="en-US" w:eastAsia="zh-CN"/>
        </w:rPr>
      </w:pPr>
      <w:bookmarkStart w:id="0" w:name="_Toc28117"/>
      <w:bookmarkStart w:id="1" w:name="_Toc4482"/>
      <w:bookmarkStart w:id="2" w:name="_Toc25073"/>
      <w:bookmarkStart w:id="3" w:name="_Toc24808"/>
      <w:bookmarkStart w:id="4" w:name="_Toc521"/>
      <w:bookmarkStart w:id="5" w:name="_Toc19356"/>
      <w:bookmarkStart w:id="6" w:name="_Toc17484"/>
      <w:r>
        <w:rPr>
          <w:rFonts w:hint="eastAsia" w:ascii="仿宋" w:hAnsi="仿宋" w:eastAsia="仿宋" w:cs="仿宋"/>
          <w:b/>
          <w:bCs/>
          <w:sz w:val="32"/>
          <w:szCs w:val="32"/>
          <w:lang w:val="en-US" w:eastAsia="zh-CN"/>
        </w:rPr>
        <w:t>1.1项目背景</w:t>
      </w:r>
      <w:bookmarkEnd w:id="0"/>
      <w:bookmarkEnd w:id="1"/>
      <w:bookmarkEnd w:id="2"/>
      <w:bookmarkEnd w:id="3"/>
      <w:bookmarkEnd w:id="4"/>
      <w:bookmarkEnd w:id="5"/>
      <w:bookmarkEnd w:id="6"/>
    </w:p>
    <w:p w14:paraId="6BA74A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sz w:val="28"/>
          <w:szCs w:val="28"/>
          <w:lang w:val="en-US" w:eastAsia="zh-CN"/>
        </w:rPr>
      </w:pPr>
      <w:r>
        <w:rPr>
          <w:rFonts w:hint="eastAsia" w:ascii="仿宋" w:hAnsi="仿宋" w:eastAsia="仿宋" w:cs="仿宋"/>
          <w:kern w:val="2"/>
          <w:sz w:val="28"/>
          <w:szCs w:val="28"/>
          <w:lang w:val="en-US" w:eastAsia="zh-CN" w:bidi="ar"/>
        </w:rPr>
        <w:t>成都市第五人民医院始建于1938年，是一所历史悠久、文化底蕴丰厚，以肿瘤疾病防治和老年病综合治疗为特色的集医疗、教学、科研、预防、康复、急救于一体的国家三级甲等综合医院，是成都中医药大学附属第五人民医院/第二临床医学院。是国家级胸痛中心、国家级高级卒中中心、国家级心衰中心、成都西部危重孕产妇新生儿救治中心、成都西部创伤急救中心、生殖医学中心、成都西部区域医疗中心。医疗服务辐射成都西部区域10余个县市，覆盖人口700余万，医院拥有一院四区（综合医疗区、老年医疗区、教学院区、光华院区&lt;在建&gt;），编制床位2180张，实际开放床位2188张。2024年，医院门急诊210万人次，出院10.9万人次，住院手术3.5万人次。光华院区计划2026年10月底投入开园，规划编制床位1200张。</w:t>
      </w:r>
    </w:p>
    <w:p w14:paraId="63158E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2016年以来，国家卫生信息化标准针对医疗机构信息化及区域医疗信息化，相继出台了《关于进一步推进以电子病历为核心的医疗机构信息化建设工作的通知》（国卫办医发(2018)20号)、《全国医院信息化建设标准与规范》(2018年4月版)、《国家电子病历系统应用水平分级评价标准》(2018版)、《全国医院信息平台应用功能指引》2020 版、《关于促进“互联网+医疗健康”发展的指导意见》(国办发(2018)26号)、《医院信息互联互通标准化成熟度标准》(2020年版)、《医院智慧服务分级评估标准体系(试行)》(国卫办医函(2019)236号)、《“十四五”全民健康信息化规划》等政策。国家卫健委提出：以信息标准为核心，以测评工作为抓手，打造全面测评体系，推进区域/医院和主要业务系统的标准化水平和互联互通服务能力。四川省政府领导部门制定的《四川省“十四五”卫生健康发展规划》中特别强调统筹推进卫生健康信息体系的建设。注重以需求为导向，以应用为引领，以安全为底线，推进卫生健康信息化纵深发展。上述指导政策出台为医院信息化建设、信息化赋能指明了方向。</w:t>
      </w:r>
    </w:p>
    <w:p w14:paraId="482435F4">
      <w:pPr>
        <w:pStyle w:val="3"/>
        <w:bidi w:val="0"/>
        <w:rPr>
          <w:rFonts w:hint="default" w:ascii="仿宋" w:hAnsi="仿宋" w:eastAsia="仿宋" w:cs="仿宋"/>
          <w:b/>
          <w:bCs/>
          <w:sz w:val="32"/>
          <w:szCs w:val="32"/>
          <w:lang w:val="en-US" w:eastAsia="zh-CN"/>
        </w:rPr>
      </w:pPr>
      <w:bookmarkStart w:id="7" w:name="_Toc16467"/>
      <w:bookmarkStart w:id="8" w:name="_Toc25662"/>
      <w:bookmarkStart w:id="9" w:name="_Toc18220"/>
      <w:bookmarkStart w:id="10" w:name="_Toc27268"/>
      <w:bookmarkStart w:id="11" w:name="_Toc22485"/>
      <w:bookmarkStart w:id="12" w:name="_Toc14661"/>
      <w:r>
        <w:rPr>
          <w:rFonts w:hint="eastAsia" w:ascii="仿宋" w:hAnsi="仿宋" w:eastAsia="仿宋" w:cs="仿宋"/>
          <w:b/>
          <w:bCs/>
          <w:sz w:val="32"/>
          <w:szCs w:val="32"/>
          <w:lang w:val="en-US" w:eastAsia="zh-CN"/>
        </w:rPr>
        <w:t>1.2项目建设目标</w:t>
      </w:r>
      <w:bookmarkEnd w:id="7"/>
      <w:bookmarkEnd w:id="8"/>
      <w:bookmarkEnd w:id="9"/>
      <w:bookmarkEnd w:id="10"/>
      <w:bookmarkEnd w:id="11"/>
      <w:bookmarkEnd w:id="12"/>
    </w:p>
    <w:p w14:paraId="2BE1ABA7">
      <w:pPr>
        <w:pStyle w:val="4"/>
        <w:bidi w:val="0"/>
        <w:rPr>
          <w:rFonts w:hint="default" w:ascii="仿宋" w:hAnsi="仿宋" w:eastAsia="仿宋" w:cs="仿宋"/>
          <w:b/>
          <w:bCs/>
          <w:sz w:val="28"/>
          <w:szCs w:val="28"/>
          <w:lang w:val="en-US" w:eastAsia="zh-CN"/>
        </w:rPr>
      </w:pPr>
      <w:bookmarkStart w:id="13" w:name="_Toc10874"/>
      <w:bookmarkStart w:id="14" w:name="_Toc15553"/>
      <w:bookmarkStart w:id="15" w:name="_Toc1831"/>
      <w:bookmarkStart w:id="16" w:name="_Toc17121"/>
      <w:bookmarkStart w:id="17" w:name="_Toc28161"/>
      <w:bookmarkStart w:id="18" w:name="_Toc13002"/>
      <w:bookmarkStart w:id="19" w:name="_Toc21291"/>
      <w:r>
        <w:rPr>
          <w:rFonts w:hint="eastAsia" w:ascii="仿宋" w:hAnsi="仿宋" w:eastAsia="仿宋" w:cs="仿宋"/>
          <w:b/>
          <w:bCs/>
          <w:sz w:val="28"/>
          <w:szCs w:val="28"/>
          <w:lang w:val="en-US" w:eastAsia="zh-CN"/>
        </w:rPr>
        <w:t>1.2.1总体目标</w:t>
      </w:r>
      <w:bookmarkEnd w:id="13"/>
      <w:bookmarkEnd w:id="14"/>
      <w:bookmarkEnd w:id="15"/>
      <w:bookmarkEnd w:id="16"/>
      <w:bookmarkEnd w:id="17"/>
      <w:bookmarkEnd w:id="18"/>
      <w:bookmarkEnd w:id="19"/>
    </w:p>
    <w:p w14:paraId="24ED58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根据医院“十四五”信息化总体规划要求，建设智慧医院、互联网医院，打造区域医疗中心、西部医联体和妇幼急救中心，以平台为基础实现信息的最大限度互联共享应用，建设围绕智慧医疗、智慧服务、智慧管理为主的“三位一体</w:t>
      </w:r>
      <w:r>
        <w:rPr>
          <w:rFonts w:hint="default" w:ascii="仿宋" w:hAnsi="仿宋" w:eastAsia="仿宋" w:cs="仿宋"/>
          <w:kern w:val="2"/>
          <w:sz w:val="28"/>
          <w:szCs w:val="28"/>
          <w:lang w:val="en-US" w:eastAsia="zh-CN" w:bidi="ar"/>
        </w:rPr>
        <w:t>”</w:t>
      </w:r>
      <w:r>
        <w:rPr>
          <w:rFonts w:hint="eastAsia" w:ascii="仿宋" w:hAnsi="仿宋" w:eastAsia="仿宋" w:cs="仿宋"/>
          <w:kern w:val="2"/>
          <w:sz w:val="28"/>
          <w:szCs w:val="28"/>
          <w:lang w:val="en-US" w:eastAsia="zh-CN" w:bidi="ar"/>
        </w:rPr>
        <w:t>智慧医院。满足患者就医全天候全预约、医疗服务流程全闭环、管理决策多维度的信息化支撑的智慧医院服务体系，打造一个全新的智慧化互联网医院，满足医院总体建设发展的需要，建设以“智慧服务四级、互联互通五级乙等、电子病历六级及以上”有关建设标准为参照。</w:t>
      </w:r>
    </w:p>
    <w:p w14:paraId="1CA38DB3">
      <w:pPr>
        <w:pStyle w:val="4"/>
        <w:bidi w:val="0"/>
        <w:rPr>
          <w:rFonts w:hint="eastAsia" w:ascii="仿宋" w:hAnsi="仿宋" w:eastAsia="仿宋" w:cs="仿宋"/>
          <w:b/>
          <w:bCs/>
          <w:sz w:val="28"/>
          <w:szCs w:val="28"/>
          <w:lang w:val="en-US" w:eastAsia="zh-CN"/>
        </w:rPr>
      </w:pPr>
      <w:bookmarkStart w:id="20" w:name="_Toc24651"/>
      <w:bookmarkStart w:id="21" w:name="_Toc15618"/>
      <w:bookmarkStart w:id="22" w:name="_Toc26100"/>
      <w:bookmarkStart w:id="23" w:name="_Toc11524"/>
      <w:bookmarkStart w:id="24" w:name="_Toc27152"/>
      <w:bookmarkStart w:id="25" w:name="_Toc354913975"/>
      <w:bookmarkStart w:id="26" w:name="_Toc5183"/>
      <w:bookmarkStart w:id="27" w:name="_Toc65229870"/>
      <w:bookmarkStart w:id="28" w:name="_Toc26162"/>
      <w:bookmarkStart w:id="29" w:name="_Toc15257"/>
      <w:bookmarkStart w:id="30" w:name="_Toc354751934"/>
      <w:bookmarkStart w:id="31" w:name="_Toc50020546"/>
      <w:bookmarkStart w:id="32" w:name="_Toc5618"/>
      <w:bookmarkStart w:id="33" w:name="_Toc11603"/>
      <w:bookmarkStart w:id="34" w:name="_Toc2684"/>
      <w:bookmarkStart w:id="35" w:name="_Toc14786"/>
      <w:bookmarkStart w:id="36" w:name="_Toc3393"/>
      <w:r>
        <w:rPr>
          <w:rFonts w:hint="eastAsia" w:ascii="仿宋" w:hAnsi="仿宋" w:eastAsia="仿宋" w:cs="仿宋"/>
          <w:b/>
          <w:bCs/>
          <w:sz w:val="28"/>
          <w:szCs w:val="28"/>
          <w:lang w:val="en-US" w:eastAsia="zh-CN"/>
        </w:rPr>
        <w:t>1.2.2具体实现目标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598AA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结合医院现状，将信息化先进技术和医院服务管理经验相结合，以病人为中心、以临床为核心、以医嘱为主线，实现诊疗流程标准化、医疗记录完整化、病历医嘱数字化、健康数据共享化、医管权限安全化，实现区域内信息互通共享、人财物统一管理，实现医院从数字化医院向智慧化医院的跨越。以问题和需求为导向持续加强信息化建设、提供智慧服务，打造适应未来发展的多院区一体化智慧医院信息平台，满足医院未来 5—10 年高水平发展的医疗管理需求。</w:t>
      </w:r>
    </w:p>
    <w:p w14:paraId="56E79AF5">
      <w:pPr>
        <w:pStyle w:val="7"/>
        <w:bidi w:val="0"/>
        <w:rPr>
          <w:rFonts w:hint="eastAsia"/>
          <w:lang w:val="en-US" w:eastAsia="zh-CN"/>
        </w:rPr>
      </w:pPr>
      <w:bookmarkStart w:id="37" w:name="_Toc11074"/>
      <w:bookmarkStart w:id="38" w:name="_Toc991"/>
      <w:r>
        <w:rPr>
          <w:rFonts w:hint="eastAsia"/>
          <w:lang w:val="en-US" w:eastAsia="zh-CN"/>
        </w:rPr>
        <w:t>1.2.2.1满足集团化医院发展需要</w:t>
      </w:r>
      <w:bookmarkEnd w:id="37"/>
      <w:bookmarkEnd w:id="38"/>
    </w:p>
    <w:p w14:paraId="55C2F8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成满足医院一院四区一体化管理，实现多院区一套系统、一套数据库、一套网络、统一部署、统一管理等“五统一”管理模式。确保数据一次有效录入，可在不同部门、不同系统、不同场景中重复利用，实现医疗数据能在不同业务场景中高度共享，数据间互联互通相互印证，避免出现信息孤岛，多院区提供同品质管理和服务。</w:t>
      </w:r>
    </w:p>
    <w:p w14:paraId="3D1A395A">
      <w:pPr>
        <w:pStyle w:val="7"/>
        <w:bidi w:val="0"/>
        <w:rPr>
          <w:rFonts w:hint="eastAsia"/>
          <w:lang w:val="en-US" w:eastAsia="zh-CN"/>
        </w:rPr>
      </w:pPr>
      <w:bookmarkStart w:id="39" w:name="_Toc17107"/>
      <w:bookmarkStart w:id="40" w:name="_Toc17079"/>
      <w:r>
        <w:rPr>
          <w:rFonts w:hint="eastAsia"/>
          <w:lang w:val="en-US" w:eastAsia="zh-CN"/>
        </w:rPr>
        <w:t>1.2.2.2满足医院区域协同发展需要</w:t>
      </w:r>
      <w:bookmarkEnd w:id="39"/>
      <w:bookmarkEnd w:id="40"/>
    </w:p>
    <w:p w14:paraId="33E628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支持实现业务覆盖成都及周边区域，支持扩展建成统一区域影像中心、区域检验中心、区域病理中心、区域心电诊断中心、区域放疗诊疗中心模式，为成都及周边二级医疗机构、乡镇卫生医疗机构实现区域协同发展提供支持，提升区域医疗协同服务能力。</w:t>
      </w:r>
    </w:p>
    <w:p w14:paraId="31109AB2">
      <w:pPr>
        <w:pStyle w:val="7"/>
        <w:bidi w:val="0"/>
        <w:rPr>
          <w:rFonts w:hint="eastAsia"/>
          <w:lang w:val="en-US" w:eastAsia="zh-CN"/>
        </w:rPr>
      </w:pPr>
      <w:bookmarkStart w:id="41" w:name="_Toc11611"/>
      <w:bookmarkStart w:id="42" w:name="_Toc20336"/>
      <w:r>
        <w:rPr>
          <w:rFonts w:hint="eastAsia"/>
          <w:lang w:val="en-US" w:eastAsia="zh-CN"/>
        </w:rPr>
        <w:t>1.2.2.3实现医疗业务线上线下一体化</w:t>
      </w:r>
      <w:bookmarkEnd w:id="41"/>
      <w:bookmarkEnd w:id="42"/>
    </w:p>
    <w:p w14:paraId="46B3F4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成通过技术、政策与资源的多维整合，构建面向服务、临床、管理等全方位的互联网医院，实现医疗业务线上线下一体化，利用互联网医院打破地域限制、时间限制、诊室限制，重塑传统医疗模式，强化资源一体化分配、优化支付体系，创新互联网在预约服务、用药指导、慢病居家监测、急诊急救服务等细分场景的新应用，深化拓展互联网在医、药、险、康方面的联动，支撑医院将优质的医疗资源向外辐射，将医院服务边界延伸到院外。</w:t>
      </w:r>
    </w:p>
    <w:p w14:paraId="51A153CB">
      <w:pPr>
        <w:pStyle w:val="7"/>
        <w:bidi w:val="0"/>
        <w:rPr>
          <w:rFonts w:hint="eastAsia"/>
          <w:lang w:val="en-US" w:eastAsia="zh-CN"/>
        </w:rPr>
      </w:pPr>
      <w:bookmarkStart w:id="43" w:name="_Toc29908"/>
      <w:bookmarkStart w:id="44" w:name="_Toc26273"/>
      <w:r>
        <w:rPr>
          <w:rFonts w:hint="eastAsia"/>
          <w:lang w:val="en-US" w:eastAsia="zh-CN"/>
        </w:rPr>
        <w:t>1.2.2.4建成以电子病历为核心医疗系统</w:t>
      </w:r>
      <w:bookmarkEnd w:id="43"/>
      <w:bookmarkEnd w:id="44"/>
    </w:p>
    <w:p w14:paraId="00EF56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设成以电子病历为核心的医疗业务系统，电子病历是患者诊疗全周期数据的唯一载体，涵盖门诊病历、住院病历、检查检验结果、用药记录、手术记录、健康体检等业务，汇聚来自基础HIS、急诊、检验、影像、手麻、重症、健康体检等业务数据，通过数据清洗处理实现数据标准化、结构化存储，从而为病历质控系统自动识别、病历科研分析、医院运营指标分析、医保DRG/DIP支付改革等提供数据支撑。</w:t>
      </w:r>
    </w:p>
    <w:p w14:paraId="02A0BAFF">
      <w:pPr>
        <w:pStyle w:val="7"/>
        <w:bidi w:val="0"/>
        <w:rPr>
          <w:rFonts w:hint="eastAsia"/>
          <w:lang w:val="en-US" w:eastAsia="zh-CN"/>
        </w:rPr>
      </w:pPr>
      <w:bookmarkStart w:id="45" w:name="_Toc30956"/>
      <w:bookmarkStart w:id="46" w:name="_Toc23971"/>
      <w:r>
        <w:rPr>
          <w:rFonts w:hint="eastAsia"/>
          <w:lang w:val="en-US" w:eastAsia="zh-CN"/>
        </w:rPr>
        <w:t>1.2.2.5医疗质量及安全制度融入</w:t>
      </w:r>
      <w:bookmarkEnd w:id="45"/>
      <w:bookmarkEnd w:id="46"/>
    </w:p>
    <w:p w14:paraId="37DE17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利用本次新建核心系统的契机，充分发挥过往系统建设积累的经验教训，把医疗质量要求和安全制度要求融入业务系统，在病案书写质量控制体系融入环节质控、终末质控，在电子病历安全保障机制增加时间戳、电子签名、隐私保护、使用审批、访问日志记录等功能，实现医嘱、护理、治疗、检查、检验、输血、手术、危急值、不良事件等闭环管理分析，规范医疗行为提升医疗质量。</w:t>
      </w:r>
    </w:p>
    <w:p w14:paraId="259CB1F1">
      <w:pPr>
        <w:pStyle w:val="7"/>
        <w:bidi w:val="0"/>
        <w:rPr>
          <w:rFonts w:hint="eastAsia"/>
          <w:lang w:val="en-US" w:eastAsia="zh-CN"/>
        </w:rPr>
      </w:pPr>
      <w:bookmarkStart w:id="47" w:name="_Toc10191"/>
      <w:bookmarkStart w:id="48" w:name="_Toc19212"/>
      <w:r>
        <w:rPr>
          <w:rFonts w:hint="eastAsia"/>
          <w:lang w:val="en-US" w:eastAsia="zh-CN"/>
        </w:rPr>
        <w:t>1.2.2.6体现“以患者为中心”的服务理念</w:t>
      </w:r>
      <w:bookmarkEnd w:id="47"/>
      <w:bookmarkEnd w:id="48"/>
    </w:p>
    <w:p w14:paraId="6744B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设将“以患者为中心”的理念贯穿于医疗服务各环节，整体提升医疗服务的舒适化、智慧化、数字化水平。门诊上简化流程创新模式，让信息“多跑路”让患者“少跑腿”；提供一站式医技预约平台，智能预约各类检查；提供多学科会诊平台，避免患者在不同科室之间奔波；住院提供自助入院、床旁结算、线上结算等自助业务，进一步增强患者就医的便捷性、获得感及幸福感。</w:t>
      </w:r>
    </w:p>
    <w:p w14:paraId="1228F808">
      <w:pPr>
        <w:pStyle w:val="7"/>
        <w:bidi w:val="0"/>
        <w:rPr>
          <w:rFonts w:hint="eastAsia"/>
          <w:lang w:val="en-US" w:eastAsia="zh-CN"/>
        </w:rPr>
      </w:pPr>
      <w:bookmarkStart w:id="49" w:name="_Toc19683"/>
      <w:bookmarkStart w:id="50" w:name="_Toc12197"/>
      <w:r>
        <w:rPr>
          <w:rFonts w:hint="eastAsia"/>
          <w:lang w:val="en-US" w:eastAsia="zh-CN"/>
        </w:rPr>
        <w:t>1.2.2.7实现统一支付统一对账优化财务监管</w:t>
      </w:r>
      <w:bookmarkEnd w:id="49"/>
      <w:bookmarkEnd w:id="50"/>
    </w:p>
    <w:p w14:paraId="11953E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依托银行支付、电子发票、电子凭证等成熟平台，建立窗口、诊间、自助终端、手机端等多途径支付体系，实现去窗口化，大幅缩短收费窗口排队等待时间，提升患者的就医体验。全面整合现金、银行卡、微信、支付宝、移动医保、信用支付等支付渠道，建立统一支付统一对账平台，实现院内、银行、医保等多方实施对账管理，提供完善的差异账目发现提醒机制，加强单边账管理，优化财务监管。</w:t>
      </w:r>
      <w:bookmarkStart w:id="51" w:name="_Toc24397"/>
    </w:p>
    <w:p w14:paraId="75A388BD">
      <w:pPr>
        <w:pStyle w:val="7"/>
        <w:bidi w:val="0"/>
        <w:rPr>
          <w:rFonts w:hint="eastAsia"/>
          <w:lang w:val="en-US" w:eastAsia="zh-CN"/>
        </w:rPr>
      </w:pPr>
      <w:bookmarkStart w:id="52" w:name="_Toc20064"/>
      <w:r>
        <w:rPr>
          <w:rFonts w:hint="eastAsia"/>
          <w:lang w:val="en-US" w:eastAsia="zh-CN"/>
        </w:rPr>
        <w:t>1.2.2.8融入新技术助力医院发展</w:t>
      </w:r>
      <w:bookmarkEnd w:id="51"/>
      <w:bookmarkEnd w:id="52"/>
    </w:p>
    <w:p w14:paraId="5D8E43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以技术为驱动、以信息网络为基础，将 5G、人工智能、物联网、云计算等新技术全面融入本次项目建设，充分利用AI构建医学知识库、语音病历转化、自然语言分析、辅助诊断、健康宣教、智能随访、病历质控、用药指导、智能阅片等实际应用场景，深挖业务应用需求，建设成有我院特色的智能辅助信息系统助力医院发展。</w:t>
      </w:r>
    </w:p>
    <w:p w14:paraId="223D3DBF">
      <w:pPr>
        <w:pStyle w:val="7"/>
        <w:bidi w:val="0"/>
        <w:rPr>
          <w:rFonts w:hint="eastAsia"/>
          <w:lang w:val="en-US" w:eastAsia="zh-CN"/>
        </w:rPr>
      </w:pPr>
      <w:bookmarkStart w:id="53" w:name="_Toc22770"/>
      <w:bookmarkStart w:id="54" w:name="_Toc18067"/>
      <w:bookmarkStart w:id="55" w:name="_Toc14248"/>
      <w:bookmarkStart w:id="56" w:name="_Toc20880"/>
      <w:bookmarkStart w:id="57" w:name="_Toc13389"/>
      <w:bookmarkStart w:id="58" w:name="_Toc23804"/>
      <w:bookmarkStart w:id="59" w:name="_Toc28136"/>
      <w:r>
        <w:rPr>
          <w:rFonts w:hint="eastAsia"/>
          <w:lang w:val="en-US" w:eastAsia="zh-CN"/>
        </w:rPr>
        <w:t>1.2.2.9评级达标日常化</w:t>
      </w:r>
      <w:bookmarkEnd w:id="53"/>
      <w:bookmarkEnd w:id="54"/>
      <w:bookmarkEnd w:id="55"/>
      <w:bookmarkEnd w:id="56"/>
      <w:bookmarkEnd w:id="57"/>
      <w:bookmarkEnd w:id="58"/>
      <w:bookmarkEnd w:id="59"/>
    </w:p>
    <w:p w14:paraId="6D98C7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医疗信息化领域的多项评审评级活动是推进医院信息化建设向着正确、实用、标准方向发展的重要推动力量，符合和满足测评标准的要求也是医院开展信息化建设的抓手，对标建设标准和应用内容，把评级达标相关的质量控制指标与日常服务管理工作结合起来，以评促建，以评促用，以评促改，提升医院应用管理水平和服务质量，提高患者满意度。</w:t>
      </w:r>
    </w:p>
    <w:p w14:paraId="2E91C943">
      <w:pPr>
        <w:pStyle w:val="7"/>
        <w:bidi w:val="0"/>
        <w:rPr>
          <w:rFonts w:hint="eastAsia"/>
          <w:lang w:val="en-US" w:eastAsia="zh-CN"/>
        </w:rPr>
      </w:pPr>
      <w:bookmarkStart w:id="60" w:name="_Toc18176"/>
      <w:bookmarkStart w:id="61" w:name="_Toc12743"/>
      <w:bookmarkStart w:id="62" w:name="_Toc19697"/>
      <w:bookmarkStart w:id="63" w:name="_Toc23927"/>
      <w:bookmarkStart w:id="64" w:name="_Toc1308"/>
      <w:bookmarkStart w:id="65" w:name="_Toc17583"/>
      <w:bookmarkStart w:id="66" w:name="_Toc867"/>
      <w:r>
        <w:rPr>
          <w:rFonts w:hint="eastAsia"/>
          <w:lang w:val="en-US" w:eastAsia="zh-CN"/>
        </w:rPr>
        <w:t>1.2.2.10信息安全常态化</w:t>
      </w:r>
      <w:bookmarkEnd w:id="60"/>
      <w:bookmarkEnd w:id="61"/>
      <w:bookmarkEnd w:id="62"/>
      <w:bookmarkEnd w:id="63"/>
      <w:bookmarkEnd w:id="64"/>
      <w:bookmarkEnd w:id="65"/>
      <w:bookmarkEnd w:id="66"/>
    </w:p>
    <w:p w14:paraId="0A6E92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构建从物理层到应用层、从业务到管理、从系统到数据、从被动到主动的全天候安全防护体系，保障基础安全防护能力建设，加强态势感知等主动安全风险发现能力建设，加强常态化的安全管理维护、应用技能培训、应急演练等安全等保测评基础要求工作的切实开展，保证基础HIS系统、电子病历系统、集成平台、数据中心系统通过等保测评三级，完善安全规章制度、健全风险防控和应急响应预案建设</w:t>
      </w:r>
      <w:bookmarkStart w:id="95" w:name="_GoBack"/>
      <w:r>
        <w:rPr>
          <w:rFonts w:hint="eastAsia" w:ascii="仿宋" w:hAnsi="仿宋" w:eastAsia="仿宋" w:cs="仿宋"/>
          <w:kern w:val="2"/>
          <w:sz w:val="28"/>
          <w:szCs w:val="28"/>
          <w:lang w:val="en-US" w:eastAsia="zh-CN" w:bidi="ar"/>
        </w:rPr>
        <w:t>和</w:t>
      </w:r>
      <w:bookmarkEnd w:id="95"/>
      <w:r>
        <w:rPr>
          <w:rFonts w:hint="eastAsia" w:ascii="仿宋" w:hAnsi="仿宋" w:eastAsia="仿宋" w:cs="仿宋"/>
          <w:kern w:val="2"/>
          <w:sz w:val="28"/>
          <w:szCs w:val="28"/>
          <w:lang w:val="en-US" w:eastAsia="zh-CN" w:bidi="ar"/>
        </w:rPr>
        <w:t>演练，建设集成统一的软硬件资源管理监控和主动预警平台。</w:t>
      </w:r>
    </w:p>
    <w:p w14:paraId="41CAB047">
      <w:pPr>
        <w:pStyle w:val="2"/>
        <w:numPr>
          <w:ilvl w:val="0"/>
          <w:numId w:val="1"/>
        </w:numPr>
        <w:bidi w:val="0"/>
        <w:rPr>
          <w:rFonts w:hint="default" w:ascii="仿宋" w:hAnsi="仿宋" w:eastAsia="仿宋" w:cs="仿宋"/>
          <w:b/>
          <w:bCs/>
          <w:sz w:val="36"/>
          <w:szCs w:val="36"/>
          <w:lang w:val="en-US" w:eastAsia="zh-CN"/>
        </w:rPr>
      </w:pPr>
      <w:bookmarkStart w:id="67" w:name="_Toc28698"/>
      <w:bookmarkStart w:id="68" w:name="_Toc24568"/>
      <w:bookmarkStart w:id="69" w:name="_Toc30221"/>
      <w:bookmarkStart w:id="70" w:name="_Toc2572"/>
      <w:bookmarkStart w:id="71" w:name="_Toc24408"/>
      <w:bookmarkStart w:id="72" w:name="_Toc22693"/>
      <w:bookmarkStart w:id="73" w:name="_Toc31805"/>
      <w:r>
        <w:rPr>
          <w:rFonts w:hint="eastAsia" w:ascii="仿宋" w:hAnsi="仿宋" w:eastAsia="仿宋" w:cs="仿宋"/>
          <w:b/>
          <w:bCs/>
          <w:sz w:val="36"/>
          <w:szCs w:val="36"/>
          <w:lang w:val="en-US" w:eastAsia="zh-CN"/>
        </w:rPr>
        <w:t>项目建设</w:t>
      </w:r>
      <w:bookmarkEnd w:id="67"/>
      <w:r>
        <w:rPr>
          <w:rFonts w:hint="eastAsia" w:ascii="仿宋" w:hAnsi="仿宋" w:eastAsia="仿宋" w:cs="仿宋"/>
          <w:b/>
          <w:bCs/>
          <w:sz w:val="36"/>
          <w:szCs w:val="36"/>
          <w:lang w:val="en-US" w:eastAsia="zh-CN"/>
        </w:rPr>
        <w:t>方案</w:t>
      </w:r>
      <w:bookmarkEnd w:id="68"/>
      <w:bookmarkEnd w:id="69"/>
      <w:bookmarkEnd w:id="70"/>
      <w:bookmarkEnd w:id="71"/>
      <w:bookmarkEnd w:id="72"/>
      <w:bookmarkEnd w:id="73"/>
    </w:p>
    <w:p w14:paraId="1F3A5696">
      <w:pPr>
        <w:pStyle w:val="3"/>
        <w:bidi w:val="0"/>
        <w:rPr>
          <w:rFonts w:hint="eastAsia" w:ascii="仿宋" w:hAnsi="仿宋" w:eastAsia="仿宋" w:cs="仿宋"/>
          <w:b/>
          <w:bCs/>
          <w:sz w:val="32"/>
          <w:szCs w:val="32"/>
          <w:lang w:val="en-US" w:eastAsia="zh-CN"/>
        </w:rPr>
      </w:pPr>
      <w:bookmarkStart w:id="74" w:name="_Toc12704"/>
      <w:bookmarkStart w:id="75" w:name="_Toc11626"/>
      <w:bookmarkStart w:id="76" w:name="_Toc10610"/>
      <w:bookmarkStart w:id="77" w:name="_Toc15107"/>
      <w:bookmarkStart w:id="78" w:name="_Toc19333"/>
      <w:bookmarkStart w:id="79" w:name="_Toc10066"/>
      <w:bookmarkStart w:id="80" w:name="_Toc27934"/>
      <w:r>
        <w:rPr>
          <w:rFonts w:hint="eastAsia" w:ascii="仿宋" w:hAnsi="仿宋" w:eastAsia="仿宋" w:cs="仿宋"/>
          <w:b/>
          <w:bCs/>
          <w:sz w:val="32"/>
          <w:szCs w:val="32"/>
          <w:lang w:val="en-US" w:eastAsia="zh-CN"/>
        </w:rPr>
        <w:t>2.1项目建设</w:t>
      </w:r>
      <w:bookmarkEnd w:id="74"/>
      <w:bookmarkEnd w:id="75"/>
      <w:bookmarkEnd w:id="76"/>
      <w:bookmarkEnd w:id="77"/>
      <w:bookmarkEnd w:id="78"/>
      <w:bookmarkEnd w:id="79"/>
      <w:r>
        <w:rPr>
          <w:rFonts w:hint="eastAsia" w:ascii="仿宋" w:hAnsi="仿宋" w:eastAsia="仿宋" w:cs="仿宋"/>
          <w:b/>
          <w:bCs/>
          <w:sz w:val="32"/>
          <w:szCs w:val="32"/>
          <w:lang w:val="en-US" w:eastAsia="zh-CN"/>
        </w:rPr>
        <w:t>内容</w:t>
      </w:r>
      <w:bookmarkEnd w:id="80"/>
    </w:p>
    <w:p w14:paraId="0AF7AB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本次项目需要完成医院多院区的智慧医院一体化诊疗平台建设，核心内容包括门诊业务、急诊业务、住院业务、药学业务、集成平台、数据中心、医政管理及评级服务支撑,建设规划系统需要覆盖院区包括：西区、东区、光华院区&lt;在建&gt;，利旧扩容系统需要包含与新建系统接口接入及扩展到光华院区投入运行，建设接口需要包含项目建设期与服务期内政策性接口、新增接口、接口适应性改造及第三方系统接口，应考虑应急接口，在平台异常的情况下保障核心业务系统正常运行。项目建成要求通过智慧服务分级评估三级，通过医院信息互联互通标准化成熟度测评五级乙等，通过电子病历系统应用水平分级评价六级，信息安全按等保2.0标准规范建设，核心系统要求通过等保三级。</w:t>
      </w:r>
    </w:p>
    <w:p w14:paraId="3F1EF3F0">
      <w:pPr>
        <w:pStyle w:val="4"/>
        <w:bidi w:val="0"/>
        <w:rPr>
          <w:rFonts w:hint="default" w:ascii="仿宋" w:hAnsi="仿宋" w:eastAsia="仿宋" w:cs="仿宋"/>
          <w:b/>
          <w:bCs/>
          <w:sz w:val="28"/>
          <w:szCs w:val="28"/>
          <w:lang w:val="en-US" w:eastAsia="zh-CN"/>
        </w:rPr>
      </w:pPr>
      <w:bookmarkStart w:id="81" w:name="_Toc23544"/>
      <w:bookmarkStart w:id="82" w:name="_Toc10881"/>
      <w:bookmarkStart w:id="83" w:name="_Toc885"/>
      <w:bookmarkStart w:id="84" w:name="_Toc11008"/>
      <w:bookmarkStart w:id="85" w:name="_Toc8883"/>
      <w:bookmarkStart w:id="86" w:name="_Toc28145"/>
      <w:r>
        <w:rPr>
          <w:rFonts w:hint="eastAsia" w:ascii="仿宋" w:hAnsi="仿宋" w:eastAsia="仿宋" w:cs="仿宋"/>
          <w:b/>
          <w:bCs/>
          <w:sz w:val="28"/>
          <w:szCs w:val="28"/>
          <w:lang w:val="en-US" w:eastAsia="zh-CN"/>
        </w:rPr>
        <w:t>2.1.1更换及新建系统清单</w:t>
      </w:r>
      <w:bookmarkEnd w:id="81"/>
      <w:bookmarkEnd w:id="82"/>
      <w:bookmarkEnd w:id="83"/>
      <w:bookmarkEnd w:id="84"/>
      <w:bookmarkEnd w:id="85"/>
      <w:bookmarkEnd w:id="86"/>
    </w:p>
    <w:tbl>
      <w:tblPr>
        <w:tblStyle w:val="16"/>
        <w:tblW w:w="9269" w:type="dxa"/>
        <w:tblInd w:w="-361" w:type="dxa"/>
        <w:tblLayout w:type="fixed"/>
        <w:tblCellMar>
          <w:top w:w="0" w:type="dxa"/>
          <w:left w:w="108" w:type="dxa"/>
          <w:bottom w:w="0" w:type="dxa"/>
          <w:right w:w="108" w:type="dxa"/>
        </w:tblCellMar>
      </w:tblPr>
      <w:tblGrid>
        <w:gridCol w:w="722"/>
        <w:gridCol w:w="825"/>
        <w:gridCol w:w="1245"/>
        <w:gridCol w:w="6477"/>
      </w:tblGrid>
      <w:tr w14:paraId="4C666A4C">
        <w:tblPrEx>
          <w:tblCellMar>
            <w:top w:w="0" w:type="dxa"/>
            <w:left w:w="108" w:type="dxa"/>
            <w:bottom w:w="0" w:type="dxa"/>
            <w:right w:w="108" w:type="dxa"/>
          </w:tblCellMar>
        </w:tblPrEx>
        <w:trPr>
          <w:trHeight w:val="558" w:hRule="atLeast"/>
        </w:trPr>
        <w:tc>
          <w:tcPr>
            <w:tcW w:w="722"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1845A224">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825"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3C53097B">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业务分类</w:t>
            </w:r>
          </w:p>
        </w:tc>
        <w:tc>
          <w:tcPr>
            <w:tcW w:w="1245"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0E0E69AD">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系统名称</w:t>
            </w:r>
          </w:p>
        </w:tc>
        <w:tc>
          <w:tcPr>
            <w:tcW w:w="6477" w:type="dxa"/>
            <w:tcBorders>
              <w:top w:val="single" w:color="000000" w:sz="8" w:space="0"/>
              <w:left w:val="dotted" w:color="auto" w:sz="8" w:space="0"/>
              <w:bottom w:val="single" w:color="000000" w:sz="8" w:space="0"/>
              <w:right w:val="dotted" w:color="auto" w:sz="8" w:space="0"/>
            </w:tcBorders>
            <w:shd w:val="clear" w:color="auto" w:fill="FFFFFF"/>
            <w:noWrap w:val="0"/>
            <w:vAlign w:val="center"/>
          </w:tcPr>
          <w:p w14:paraId="773954AB">
            <w:pPr>
              <w:widowControl/>
              <w:spacing w:line="240" w:lineRule="auto"/>
              <w:ind w:left="0" w:firstLine="0" w:firstLineChars="0"/>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功能概述</w:t>
            </w:r>
          </w:p>
        </w:tc>
      </w:tr>
      <w:tr w14:paraId="3B428A27">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D7A6A1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C7288F">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基础平台</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5F23BF">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一体化服务管理平台（含微服务支持）</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EB0C591">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医疗集团信息化要求统筹规划要求，重点以“一院多区”的建设为主，实现集团化信息化建设，支持多院区不同级别不同法人管理模式。支持建立统一的标准体系，提供规范化的平台协作支持方法。包含基础服务平台、业务组件管理、模块配置管理、日志服务管理等。</w:t>
            </w:r>
          </w:p>
        </w:tc>
      </w:tr>
      <w:tr w14:paraId="6118F42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01A7B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0ADB1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C8E7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一体化数据管理平台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70D8F08">
            <w:pPr>
              <w:numPr>
                <w:ilvl w:val="0"/>
                <w:numId w:val="0"/>
              </w:numPr>
              <w:spacing w:line="240" w:lineRule="auto"/>
              <w:jc w:val="both"/>
              <w:rPr>
                <w:rFonts w:hint="eastAsia" w:ascii="仿宋" w:hAnsi="仿宋" w:eastAsia="仿宋" w:cs="仿宋"/>
                <w:sz w:val="24"/>
                <w:szCs w:val="24"/>
                <w:lang w:val="en-US" w:eastAsia="zh-CN"/>
              </w:rPr>
            </w:pPr>
            <w:bookmarkStart w:id="87" w:name="_Toc31339"/>
            <w:r>
              <w:rPr>
                <w:rFonts w:hint="eastAsia" w:ascii="仿宋" w:hAnsi="仿宋" w:eastAsia="仿宋" w:cs="仿宋"/>
                <w:sz w:val="24"/>
                <w:szCs w:val="24"/>
                <w:lang w:val="en-US" w:eastAsia="zh-CN"/>
              </w:rPr>
              <w:t>统一管理系统内部的多个基础字典。提供统一的院区字典、科室字典、人员字典、价表字典、诊疗项目字典、用法字典、频次字典等基础数据初始化的增删改查功能，提供统一的增删改维护工具。提供字典与外部系统数据对功能基础的权限管理</w:t>
            </w:r>
            <w:bookmarkEnd w:id="87"/>
            <w:r>
              <w:rPr>
                <w:rFonts w:hint="eastAsia" w:ascii="仿宋" w:hAnsi="仿宋" w:eastAsia="仿宋" w:cs="仿宋"/>
                <w:sz w:val="24"/>
                <w:szCs w:val="24"/>
                <w:lang w:val="en-US" w:eastAsia="zh-CN"/>
              </w:rPr>
              <w:t>维护。</w:t>
            </w:r>
          </w:p>
        </w:tc>
      </w:tr>
      <w:tr w14:paraId="3A55C357">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D3468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7A13C0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54DDA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一体化权限管理平台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6ABE01">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用户与人员管理，用于整个系统的用户及分配相关应用权限。包含创建用户、创建角色、分配角色、分配权限等。整个系统使用统一登录界面，根据用户权限登录相应的工作站；权限与角色相关联，用户通过被赋予适当角色而得到这些角色对应的所有功能权限。</w:t>
            </w:r>
          </w:p>
        </w:tc>
      </w:tr>
      <w:tr w14:paraId="44EAEEE4">
        <w:tblPrEx>
          <w:tblCellMar>
            <w:top w:w="0" w:type="dxa"/>
            <w:left w:w="108" w:type="dxa"/>
            <w:bottom w:w="0" w:type="dxa"/>
            <w:right w:w="108" w:type="dxa"/>
          </w:tblCellMar>
        </w:tblPrEx>
        <w:trPr>
          <w:trHeight w:val="124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A08B6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CE28E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EBF57C">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一体化监控运维平台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5203C2">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支持集中运维管理平台，实现以业务系统监控为主线，基于“业务、软件、网络、设备”多个监控视角运维平台，包含运维监控、自动化巡检、告警中心、资产配置、报表分析、移动告警等功能。</w:t>
            </w:r>
            <w:r>
              <w:rPr>
                <w:rFonts w:hint="eastAsia" w:ascii="仿宋" w:hAnsi="仿宋" w:eastAsia="仿宋" w:cs="仿宋"/>
                <w:sz w:val="24"/>
                <w:szCs w:val="24"/>
                <w:lang w:val="en-US" w:eastAsia="zh-CN"/>
              </w:rPr>
              <w:tab/>
            </w:r>
          </w:p>
        </w:tc>
      </w:tr>
      <w:tr w14:paraId="56D9C406">
        <w:tblPrEx>
          <w:tblCellMar>
            <w:top w:w="0" w:type="dxa"/>
            <w:left w:w="108" w:type="dxa"/>
            <w:bottom w:w="0" w:type="dxa"/>
            <w:right w:w="108" w:type="dxa"/>
          </w:tblCellMar>
        </w:tblPrEx>
        <w:trPr>
          <w:trHeight w:val="694"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3F88E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7B53FF7">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132C5C">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患者建档管理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233D0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实现患者基本信息录入、修改、补录等功能，支持建档数据完整性规则维护，支持可选项和必填项自定义设置。</w:t>
            </w:r>
          </w:p>
        </w:tc>
      </w:tr>
      <w:tr w14:paraId="3634258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C4C85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96320F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97C84A">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门诊排班管理系统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738671">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w:t>
            </w:r>
            <w:r>
              <w:rPr>
                <w:rFonts w:hint="default" w:ascii="仿宋" w:hAnsi="仿宋" w:eastAsia="仿宋" w:cs="仿宋"/>
                <w:sz w:val="24"/>
                <w:szCs w:val="24"/>
                <w:lang w:val="en-US" w:eastAsia="zh-CN"/>
              </w:rPr>
              <w:t>出诊计划管理</w:t>
            </w:r>
            <w:r>
              <w:rPr>
                <w:rFonts w:hint="eastAsia" w:ascii="仿宋" w:hAnsi="仿宋" w:eastAsia="仿宋" w:cs="仿宋"/>
                <w:sz w:val="24"/>
                <w:szCs w:val="24"/>
                <w:lang w:val="en-US" w:eastAsia="zh-CN"/>
              </w:rPr>
              <w:t>及审核，支持集中排班和分散排班模式，支持分时段排班管理，支持号源自定义策略管理，支持号源回收管理，支持黑名单规则维护。</w:t>
            </w:r>
          </w:p>
        </w:tc>
      </w:tr>
      <w:tr w14:paraId="0A20114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0B70D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F183DC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FE23E37">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门急诊预约挂号系统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52EF6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实现门急诊窗口读取患者多介质实现预约、预约确认、挂号、退号、挂号扎账及统计等功能，挂号费支付支持多渠道组合支付，退号处理费用原路径退回。</w:t>
            </w:r>
          </w:p>
        </w:tc>
      </w:tr>
      <w:tr w14:paraId="5CE8D22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A89BF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3F736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0595BAB">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门急诊收费系统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C9C745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实现门急诊窗口读取患者多介质实现门诊收费，收费支持多种方式组合支付，支持体检、GCP、VIP等特殊类别收费，</w:t>
            </w:r>
          </w:p>
          <w:p w14:paraId="0A310DEE">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支持医保合单支付及部分退费，支持支付单边账处理，支持各类收入统计汇总报表</w:t>
            </w:r>
          </w:p>
        </w:tc>
      </w:tr>
      <w:tr w14:paraId="706DC27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87467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5FD46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61E4ED">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门诊医生工作平台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4E2F5D">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实现医生接诊患者，支持患者信息完善，</w:t>
            </w:r>
            <w:r>
              <w:rPr>
                <w:rFonts w:hint="eastAsia" w:ascii="仿宋" w:hAnsi="仿宋" w:eastAsia="仿宋" w:cs="仿宋"/>
                <w:sz w:val="24"/>
                <w:szCs w:val="24"/>
                <w:lang w:val="en-US" w:eastAsia="zh-CN"/>
              </w:rPr>
              <w:t>支持医生对特殊患者标识处理，</w:t>
            </w:r>
            <w:r>
              <w:rPr>
                <w:rFonts w:hint="eastAsia" w:ascii="仿宋" w:hAnsi="仿宋" w:eastAsia="仿宋" w:cs="仿宋"/>
                <w:color w:val="000000"/>
                <w:kern w:val="0"/>
                <w:sz w:val="24"/>
                <w:szCs w:val="24"/>
                <w:lang w:val="en-US" w:eastAsia="zh-CN" w:bidi="ar"/>
              </w:rPr>
              <w:t>支持诊疗模板录入及调用，支持基于规则的诊疗开单及自动分单，</w:t>
            </w:r>
            <w:r>
              <w:rPr>
                <w:rFonts w:hint="eastAsia" w:ascii="仿宋" w:hAnsi="仿宋" w:eastAsia="仿宋" w:cs="仿宋"/>
                <w:sz w:val="24"/>
                <w:szCs w:val="24"/>
                <w:lang w:val="en-US" w:eastAsia="zh-CN"/>
              </w:rPr>
              <w:t>支持患者诊间挂特殊号及加号，支持诊室与分诊台联动，支持诊间预约医技排号，支持检验检查报告浏览同屏展示，支持院感、危急值、质控等信息联动处理。</w:t>
            </w:r>
          </w:p>
        </w:tc>
      </w:tr>
      <w:tr w14:paraId="025C5AF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8BFF1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1E8E0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73E41F">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门诊护士工作平台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F5C017">
            <w:pPr>
              <w:numPr>
                <w:ilvl w:val="0"/>
                <w:numId w:val="0"/>
              </w:numPr>
              <w:spacing w:line="240" w:lineRule="auto"/>
              <w:jc w:val="both"/>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通过多种身份识别方式进行患者信息查询,支持出诊</w:t>
            </w:r>
            <w:r>
              <w:rPr>
                <w:rFonts w:hint="eastAsia" w:ascii="仿宋" w:hAnsi="仿宋" w:eastAsia="仿宋" w:cs="仿宋"/>
                <w:sz w:val="24"/>
                <w:szCs w:val="24"/>
                <w:lang w:val="en-GB" w:eastAsia="zh-CN"/>
              </w:rPr>
              <w:t>队列维护，</w:t>
            </w:r>
            <w:r>
              <w:rPr>
                <w:rFonts w:hint="eastAsia" w:ascii="仿宋" w:hAnsi="仿宋" w:eastAsia="仿宋" w:cs="仿宋"/>
                <w:sz w:val="24"/>
                <w:szCs w:val="24"/>
                <w:lang w:val="en-US" w:eastAsia="zh-CN"/>
              </w:rPr>
              <w:t>实现基于规则患者分诊处理，支持患者皮试结果录入及处理，支持治疗开单及诊间支付，支持医疗文书单据打印及各类统计分析。</w:t>
            </w:r>
          </w:p>
        </w:tc>
      </w:tr>
      <w:tr w14:paraId="301A561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4CE7C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0883F1">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005785">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门诊特殊疾病管理系统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DA9FD7B">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普通门诊管理模式</w:t>
            </w:r>
            <w:r>
              <w:rPr>
                <w:rFonts w:hint="eastAsia" w:ascii="仿宋" w:hAnsi="仿宋" w:eastAsia="仿宋" w:cs="仿宋"/>
                <w:sz w:val="24"/>
                <w:szCs w:val="24"/>
                <w:lang w:val="en-US" w:eastAsia="zh-CN"/>
              </w:rPr>
              <w:t>和方案管理（血透）两种模式。针对门诊管理模式需要自动获取病种，门诊医生开单绑定病种，收费时自动识别门特单据，门特需要实行范围用药和用药有效期管理，避免患者多开药情况。</w:t>
            </w:r>
            <w:r>
              <w:rPr>
                <w:rFonts w:hint="eastAsia" w:ascii="仿宋" w:hAnsi="仿宋" w:eastAsia="仿宋" w:cs="仿宋"/>
                <w:sz w:val="24"/>
                <w:szCs w:val="24"/>
                <w:lang w:val="en-GB" w:eastAsia="zh-CN"/>
              </w:rPr>
              <w:t>方案</w:t>
            </w:r>
            <w:r>
              <w:rPr>
                <w:rFonts w:hint="eastAsia" w:ascii="仿宋" w:hAnsi="仿宋" w:eastAsia="仿宋" w:cs="仿宋"/>
                <w:sz w:val="24"/>
                <w:szCs w:val="24"/>
                <w:lang w:val="en-US" w:eastAsia="zh-CN"/>
              </w:rPr>
              <w:t>管理方案周期内</w:t>
            </w:r>
            <w:r>
              <w:rPr>
                <w:rFonts w:hint="eastAsia" w:ascii="仿宋" w:hAnsi="仿宋" w:eastAsia="仿宋" w:cs="仿宋"/>
                <w:sz w:val="24"/>
                <w:szCs w:val="24"/>
                <w:lang w:val="en-GB" w:eastAsia="zh-CN"/>
              </w:rPr>
              <w:t>长期有效，</w:t>
            </w:r>
            <w:r>
              <w:rPr>
                <w:rFonts w:hint="eastAsia" w:ascii="仿宋" w:hAnsi="仿宋" w:eastAsia="仿宋" w:cs="仿宋"/>
                <w:sz w:val="24"/>
                <w:szCs w:val="24"/>
                <w:lang w:val="en-US" w:eastAsia="zh-CN"/>
              </w:rPr>
              <w:t>采取记账模式，</w:t>
            </w:r>
            <w:r>
              <w:rPr>
                <w:rFonts w:hint="eastAsia" w:ascii="仿宋" w:hAnsi="仿宋" w:eastAsia="仿宋" w:cs="仿宋"/>
                <w:sz w:val="24"/>
                <w:szCs w:val="24"/>
                <w:lang w:val="en-GB" w:eastAsia="zh-CN"/>
              </w:rPr>
              <w:t>记账结算主要结算</w:t>
            </w:r>
            <w:r>
              <w:rPr>
                <w:rFonts w:hint="eastAsia" w:ascii="仿宋" w:hAnsi="仿宋" w:eastAsia="仿宋" w:cs="仿宋"/>
                <w:sz w:val="24"/>
                <w:szCs w:val="24"/>
                <w:lang w:val="en-US" w:eastAsia="zh-CN"/>
              </w:rPr>
              <w:t>血透患者治疗周期完成所有记账费用，门特需</w:t>
            </w:r>
            <w:r>
              <w:rPr>
                <w:rFonts w:hint="eastAsia" w:ascii="仿宋" w:hAnsi="仿宋" w:eastAsia="仿宋" w:cs="仿宋"/>
                <w:sz w:val="24"/>
                <w:szCs w:val="24"/>
                <w:lang w:val="en-GB" w:eastAsia="zh-CN"/>
              </w:rPr>
              <w:t>满足同一个病种一次结算要求。</w:t>
            </w:r>
          </w:p>
        </w:tc>
      </w:tr>
      <w:tr w14:paraId="5656047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BF248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0520F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9BF45D0">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门急诊输液及治疗管理系统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A36905">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门诊输液及治疗需包含儿科及急诊，支持治疗</w:t>
            </w:r>
            <w:r>
              <w:rPr>
                <w:rFonts w:hint="eastAsia" w:ascii="仿宋" w:hAnsi="仿宋" w:eastAsia="仿宋" w:cs="仿宋"/>
                <w:sz w:val="24"/>
                <w:szCs w:val="24"/>
                <w:lang w:val="en-GB" w:eastAsia="zh-CN"/>
              </w:rPr>
              <w:t>护士通过扫描患者输液单条码或刷患者</w:t>
            </w:r>
            <w:r>
              <w:rPr>
                <w:rFonts w:hint="eastAsia" w:ascii="仿宋" w:hAnsi="仿宋" w:eastAsia="仿宋" w:cs="仿宋"/>
                <w:sz w:val="24"/>
                <w:szCs w:val="24"/>
                <w:lang w:val="en-US" w:eastAsia="zh-CN"/>
              </w:rPr>
              <w:t>其他身份介质</w:t>
            </w:r>
            <w:r>
              <w:rPr>
                <w:rFonts w:hint="eastAsia" w:ascii="仿宋" w:hAnsi="仿宋" w:eastAsia="仿宋" w:cs="仿宋"/>
                <w:sz w:val="24"/>
                <w:szCs w:val="24"/>
                <w:lang w:val="en-GB" w:eastAsia="zh-CN"/>
              </w:rPr>
              <w:t>实时获取患者处方信息及医嘱信息，</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皮试管理、配药、输液过程进行管理，</w:t>
            </w:r>
            <w:r>
              <w:rPr>
                <w:rFonts w:hint="eastAsia" w:ascii="仿宋" w:hAnsi="仿宋" w:eastAsia="仿宋" w:cs="仿宋"/>
                <w:sz w:val="24"/>
                <w:szCs w:val="24"/>
                <w:lang w:val="en-US" w:eastAsia="zh-CN"/>
              </w:rPr>
              <w:t>支持工作量统计分析。</w:t>
            </w:r>
          </w:p>
        </w:tc>
      </w:tr>
      <w:tr w14:paraId="7D45F9B6">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793BD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B8653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8743EF">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门急诊应急管理系统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9EE679">
            <w:pPr>
              <w:numPr>
                <w:ilvl w:val="0"/>
                <w:numId w:val="0"/>
              </w:num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支持应急系统基础字典同步更新，支持应急状态下完成对患者的基本挂号收费功能的处理，确保门诊挂号收费基本业务运行。支持门诊医生应急系统对</w:t>
            </w:r>
            <w:r>
              <w:rPr>
                <w:rFonts w:hint="eastAsia" w:ascii="仿宋" w:hAnsi="仿宋" w:eastAsia="仿宋" w:cs="仿宋"/>
                <w:sz w:val="24"/>
                <w:szCs w:val="24"/>
                <w:lang w:val="en-GB" w:eastAsia="zh-CN"/>
              </w:rPr>
              <w:t>患者就诊开单，选择开单科室登录，开单医生</w:t>
            </w:r>
            <w:r>
              <w:rPr>
                <w:rFonts w:hint="eastAsia" w:ascii="仿宋" w:hAnsi="仿宋" w:eastAsia="仿宋" w:cs="仿宋"/>
                <w:sz w:val="24"/>
                <w:szCs w:val="24"/>
                <w:lang w:val="en-US" w:eastAsia="zh-CN"/>
              </w:rPr>
              <w:t>可扫描</w:t>
            </w:r>
            <w:r>
              <w:rPr>
                <w:rFonts w:hint="eastAsia" w:ascii="仿宋" w:hAnsi="仿宋" w:eastAsia="仿宋" w:cs="仿宋"/>
                <w:sz w:val="24"/>
                <w:szCs w:val="24"/>
                <w:lang w:val="en-GB" w:eastAsia="zh-CN"/>
              </w:rPr>
              <w:t>挂号时给患者打印的挂号信息二维码图片，</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采用扫描枪扫描二维码的方式将患者的挂号信息数据导入到本台开单医生使用，</w:t>
            </w:r>
            <w:r>
              <w:rPr>
                <w:rFonts w:hint="eastAsia" w:ascii="仿宋" w:hAnsi="仿宋" w:eastAsia="仿宋" w:cs="仿宋"/>
                <w:sz w:val="24"/>
                <w:szCs w:val="24"/>
                <w:lang w:val="en-US" w:eastAsia="zh-CN"/>
              </w:rPr>
              <w:t>支持应急状态下完成对患者的基本诊疗业务处理，确保门诊医生基本业务运行。支持生产系统恢复后应急系统数据导回生产系统功能。</w:t>
            </w:r>
          </w:p>
        </w:tc>
      </w:tr>
      <w:tr w14:paraId="7B7D707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2796A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73AB07">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急诊诊疗服务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B3C90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院前急救系统（含救护车改造）</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98E1BC">
            <w:pPr>
              <w:numPr>
                <w:ilvl w:val="0"/>
                <w:numId w:val="0"/>
              </w:numPr>
              <w:spacing w:line="240" w:lineRule="auto"/>
              <w:jc w:val="both"/>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对接院前120急救系统，实现数据交互传输，提供接口与120急救平台对接，实现院前院内一体化。支持医院建设急救指挥会诊中心，针对常规急救、应急突发事件进行远程急救指挥会诊管理。患者转运过程采集患者体征信息通过无线传输至急救中心或院内的急救指挥中心,急救指挥人员或会诊专家能够实时查阅任意时间点患者的急救动态信息(视频、监护波形、心电图和电子病历等)，并通过多方音视频通话实现对患者的远程专家会诊，为患者诊断提供支持。支持急诊绿色通道管理。</w:t>
            </w:r>
          </w:p>
        </w:tc>
      </w:tr>
      <w:tr w14:paraId="4FDAB05D">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C5070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4A482F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0F45240">
            <w:pPr>
              <w:widowControl/>
              <w:spacing w:line="240" w:lineRule="auto"/>
              <w:ind w:left="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急诊预检分诊系统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BBE5D6">
            <w:pPr>
              <w:widowControl/>
              <w:spacing w:line="240" w:lineRule="auto"/>
              <w:ind w:left="0"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支持三区四级分诊管理，</w:t>
            </w:r>
            <w:r>
              <w:rPr>
                <w:rFonts w:hint="default" w:ascii="仿宋" w:hAnsi="仿宋" w:eastAsia="仿宋" w:cs="仿宋"/>
                <w:sz w:val="24"/>
                <w:szCs w:val="24"/>
                <w:lang w:val="en-US" w:eastAsia="zh-CN"/>
              </w:rPr>
              <w:t>按照急诊分诊标准《急诊</w:t>
            </w:r>
            <w:r>
              <w:rPr>
                <w:rFonts w:hint="eastAsia" w:ascii="仿宋" w:hAnsi="仿宋" w:eastAsia="仿宋" w:cs="仿宋"/>
                <w:sz w:val="24"/>
                <w:szCs w:val="24"/>
                <w:lang w:val="en-US" w:eastAsia="zh-CN"/>
              </w:rPr>
              <w:t>患者</w:t>
            </w:r>
            <w:r>
              <w:rPr>
                <w:rFonts w:hint="default" w:ascii="仿宋" w:hAnsi="仿宋" w:eastAsia="仿宋" w:cs="仿宋"/>
                <w:sz w:val="24"/>
                <w:szCs w:val="24"/>
                <w:lang w:val="en-US" w:eastAsia="zh-CN"/>
              </w:rPr>
              <w:t>病情分级试点指导原则》，护士通过观察、询问等方式，快速收集来院患者的主诉、生命体征数据、患者评分，实现对患者进行快速分级，在最短的时间内将患者分配到最合适的诊疗区域。</w:t>
            </w:r>
          </w:p>
        </w:tc>
      </w:tr>
      <w:tr w14:paraId="7F96BE4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E1ACC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941D6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8F5560">
            <w:pPr>
              <w:widowControl/>
              <w:spacing w:line="240" w:lineRule="auto"/>
              <w:ind w:left="0" w:firstLine="0" w:firstLineChars="0"/>
              <w:jc w:val="left"/>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急诊医护一体工作站 </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AF04424">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急诊医护接诊患者，支持患者信息完善，支持医生对特殊患者标识处理，支持诊疗模板录入及调用，支持基于规则的诊疗开单及自动分单，支持患者诊间挂特殊号及加号，支持诊室与分诊台联动，支持诊间预约医技排号，支持检验检查报告浏览同屏展示，支持院感、危急值、质控等信息联动处理。</w:t>
            </w:r>
          </w:p>
        </w:tc>
      </w:tr>
      <w:tr w14:paraId="2C3AA76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E926AD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C7BED9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640DEAD">
            <w:pPr>
              <w:widowControl/>
              <w:spacing w:line="240" w:lineRule="auto"/>
              <w:ind w:left="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急诊质控管理系统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E989D3">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根据国家《急诊专业医疗质量质控指标 2015》提供急诊急救质控管理统计，同时支持按医院急诊管理需求定制提供统计分析质控指标。</w:t>
            </w:r>
          </w:p>
        </w:tc>
      </w:tr>
      <w:tr w14:paraId="3F00CAB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85FB5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81324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CF5C0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急诊五大中心管理（胸痛中心、创伤中心、卒中中心、危重孕产妇救治中心、危重新生儿救治中心）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61735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系统支持通过移动 APP 的方式对急诊五大中心患者全面的管理，支持对患者快速建档，快速集成和录入患者的急救病历、分诊信息、诊疗过程、用药信息及出院信息，同时自动记录关键时间节点并以时间轴形式展示诊疗过程。</w:t>
            </w:r>
          </w:p>
          <w:p w14:paraId="0840F1A6">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需包含急诊救护车改造，实现上车即入院管理。</w:t>
            </w:r>
          </w:p>
        </w:tc>
      </w:tr>
      <w:tr w14:paraId="035BE91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C2606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8AE604">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53D3C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入院准备中心管理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525213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支持为患者做预约登记，也可以对已预约的患者进行暂停预约或取消预约等操作，支持核对患者院前医嘱并执行，支持提供病区床位一览表，</w:t>
            </w:r>
            <w:r>
              <w:rPr>
                <w:rFonts w:hint="default" w:ascii="仿宋" w:hAnsi="仿宋" w:eastAsia="仿宋" w:cs="仿宋"/>
                <w:sz w:val="24"/>
                <w:szCs w:val="24"/>
                <w:lang w:val="en-US" w:eastAsia="zh-CN"/>
              </w:rPr>
              <w:t>动态了解医院床位信息，随时掌握各病区床位使用情况。</w:t>
            </w:r>
          </w:p>
        </w:tc>
      </w:tr>
      <w:tr w14:paraId="5C933A0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B6189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47AAC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C964A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患者入出转管理系统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48E940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实现患者自费、医保、工伤登记与取消登记，实现患者入科、转科、出院、取消出院等管理。</w:t>
            </w:r>
          </w:p>
        </w:tc>
      </w:tr>
      <w:tr w14:paraId="2BE2587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7E324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4B83FA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DEDF0A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住院结算管理系统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9AFB0DF">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实现患者结算管理，支持中结、全结等多种方式结算，支持预交金票据管理，支持窗口结算、自助结算、床旁结算、线上结算等多种结算方式。</w:t>
            </w:r>
          </w:p>
        </w:tc>
      </w:tr>
      <w:tr w14:paraId="0AC5E97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804CA6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2F1A8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A2CEE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住院医生工作平台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BF3C73A">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实现医生接诊患者，支持患者信息完善，支持医生对特殊患者标识处理，支持诊疗模板录入及调用，支持基于规则的诊疗开单及自动分单，支持诊间预约医技排号，支持检验检查报告浏览同屏展示，支持院感、危急值、质控等信息联动处理。</w:t>
            </w:r>
          </w:p>
        </w:tc>
      </w:tr>
      <w:tr w14:paraId="6A82F268">
        <w:tblPrEx>
          <w:tblCellMar>
            <w:top w:w="0" w:type="dxa"/>
            <w:left w:w="108" w:type="dxa"/>
            <w:bottom w:w="0" w:type="dxa"/>
            <w:right w:w="108" w:type="dxa"/>
          </w:tblCellMar>
        </w:tblPrEx>
        <w:trPr>
          <w:trHeight w:val="74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1134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7CADF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8A0F5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移动查房系统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F8E70F8">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支持移动医生工作站的跨平台部署和应用，提供手机端安卓、iOS移动APP或小程序形式，或平板电脑形式。</w:t>
            </w:r>
          </w:p>
        </w:tc>
      </w:tr>
      <w:tr w14:paraId="5976800A">
        <w:tblPrEx>
          <w:tblCellMar>
            <w:top w:w="0" w:type="dxa"/>
            <w:left w:w="108" w:type="dxa"/>
            <w:bottom w:w="0" w:type="dxa"/>
            <w:right w:w="108" w:type="dxa"/>
          </w:tblCellMar>
        </w:tblPrEx>
        <w:trPr>
          <w:trHeight w:val="786"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882B74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88C4B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888F523">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住院护士工作平台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F41D6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实现科室床位管理，患者医嘱转抄校对处理，医嘱执行与单据打印，实现患者费用管理，支持危急值接收及处理，支持预交金</w:t>
            </w:r>
          </w:p>
        </w:tc>
      </w:tr>
      <w:tr w14:paraId="2AF4E01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33554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3ED47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E9454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会诊管理系统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AA6FC8">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支持电子会诊申请单，会诊科室接收会诊申请信息，书写会诊记录单，记录会诊整个医疗过程。支持会诊费用自动计费，提高会诊效率。支持会诊消息管理提醒。</w:t>
            </w:r>
          </w:p>
        </w:tc>
      </w:tr>
      <w:tr w14:paraId="532CBDD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BCA3C3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D9F30E">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电子病历服务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08C76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门诊电子病历管理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22CCA4">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支持门诊各类病历文书模板选择并编辑功能，提供门诊各类文书新建、删除、打印功能。</w:t>
            </w:r>
          </w:p>
        </w:tc>
      </w:tr>
      <w:tr w14:paraId="726A0A4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58098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5459AE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91FAC6">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住院电子病历管理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A57893">
            <w:pPr>
              <w:numPr>
                <w:ilvl w:val="0"/>
                <w:numId w:val="0"/>
              </w:num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住院病历模板编辑，支持住院各类结构化医疗文书新建、编辑、删除及打印，支持痕迹保留，具备电子病历修订历史痕迹保留功能，可追溯病历修订的全过程；病历文书具有多级阅读修改，由医生选择病历修改痕迹是否打印显示。支持诊疗数据导入病历。</w:t>
            </w:r>
          </w:p>
        </w:tc>
      </w:tr>
      <w:tr w14:paraId="5830509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7BC42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B786B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C93234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专科专病病历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C7F3BC2">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支持有关专科结构化模板维护及引用。支持有关专病结构化模板维护及引用。支持专科诊断、证型等录入功能。支持专科专病有关的评分表。支持专科有关病历及评估。</w:t>
            </w:r>
          </w:p>
        </w:tc>
      </w:tr>
      <w:tr w14:paraId="6849726C">
        <w:tblPrEx>
          <w:tblCellMar>
            <w:top w:w="0" w:type="dxa"/>
            <w:left w:w="108" w:type="dxa"/>
            <w:bottom w:w="0" w:type="dxa"/>
            <w:right w:w="108" w:type="dxa"/>
          </w:tblCellMar>
        </w:tblPrEx>
        <w:trPr>
          <w:trHeight w:val="145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677A9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E99FFF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7DD58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3CB317">
            <w:pPr>
              <w:widowControl/>
              <w:spacing w:line="240" w:lineRule="auto"/>
              <w:ind w:left="0"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体温单管理，支持入院评估单管理，支持风险评估单管理，支持特殊患者评估单管理，支持自动生成护理记录单，支持一般护理记录单，支持特殊护理记录单，支持可根据护理问题和护理措施新增护理计划，支持</w:t>
            </w:r>
            <w:r>
              <w:rPr>
                <w:rFonts w:hint="eastAsia" w:ascii="仿宋" w:hAnsi="仿宋" w:eastAsia="仿宋" w:cs="仿宋"/>
                <w:sz w:val="24"/>
                <w:szCs w:val="24"/>
                <w:lang w:val="en-GB" w:eastAsia="zh-CN"/>
              </w:rPr>
              <w:t>护理巡视，记录护理巡视。</w:t>
            </w:r>
          </w:p>
        </w:tc>
      </w:tr>
      <w:tr w14:paraId="60A0A45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69C1A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E45FF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1C0209">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病历质控管理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8B9271">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病历书写形式质控，事前质控提示，诊疗资料浏览，运行病历质控，终末病历质控，病历时限监控，病历质量统计，全过程质控管理，病历内涵质控，病历一致性质控，病历矛盾性质控，病历合规性质控，病历单项否决，病历AI质控功能，人工审核，病历质量查询等。</w:t>
            </w:r>
          </w:p>
        </w:tc>
      </w:tr>
      <w:tr w14:paraId="22C3C0E1">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842B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E36D5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109F0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病历归档及全文检索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4770C3">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在患者出院后，临床病历文档都将进行归档处理，统一存放到病案室进行保存，支持既往病历查阅功能，医生能直接查看患者既往病历资料信息，包括：病历内容、检验、检查、医嘱、生命体征、首页、既往病历。</w:t>
            </w:r>
          </w:p>
        </w:tc>
      </w:tr>
      <w:tr w14:paraId="318487C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A4A99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2D3609AD">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药事服务管理</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CFED26">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药库管理系统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C09DCC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主要实现药库的药品物流管理。在药品库存管理中，提供了入库、出库、调价、药品月结以及对药品结存等信息进行查询的功能。完成各种统计、价格处理及全院药品基础维护。</w:t>
            </w:r>
          </w:p>
        </w:tc>
      </w:tr>
      <w:tr w14:paraId="090338C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0E818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825" w:type="dxa"/>
            <w:vMerge w:val="continue"/>
            <w:tcBorders>
              <w:left w:val="single" w:color="8064A2" w:sz="8" w:space="0"/>
              <w:right w:val="single" w:color="8064A2" w:sz="8" w:space="0"/>
            </w:tcBorders>
            <w:shd w:val="clear" w:color="auto" w:fill="FFFFFF"/>
            <w:noWrap w:val="0"/>
            <w:vAlign w:val="center"/>
          </w:tcPr>
          <w:p w14:paraId="2CCFE8B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79BE2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制剂室管理系统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940CA5B">
            <w:pPr>
              <w:numPr>
                <w:ilvl w:val="0"/>
                <w:numId w:val="0"/>
              </w:num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制剂库房管理，包括原辅料﹑包装材料的入库﹑出库﹑盘点﹑领用﹑报废﹑消耗﹑销售等的管理。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制剂的半成品﹑成品管理，包括半成品﹑成品的入库﹑出库﹑销售﹑报废﹑盘点等的管理，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制剂的财务账目及报表分析。</w:t>
            </w:r>
          </w:p>
        </w:tc>
      </w:tr>
      <w:tr w14:paraId="0C3B7EB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1517F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825" w:type="dxa"/>
            <w:vMerge w:val="continue"/>
            <w:tcBorders>
              <w:left w:val="single" w:color="8064A2" w:sz="8" w:space="0"/>
              <w:right w:val="single" w:color="8064A2" w:sz="8" w:space="0"/>
            </w:tcBorders>
            <w:shd w:val="clear" w:color="auto" w:fill="FFFFFF"/>
            <w:noWrap w:val="0"/>
            <w:vAlign w:val="center"/>
          </w:tcPr>
          <w:p w14:paraId="6A1CDCC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DC88190">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药房管理系统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72D0B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实现药房的药品物流管理。在临床药房管理中，提供了入库、出库、药品月结等信息进行查询的功能。提供对药品的来源、去向等统计。提供了处方按身份、费别、出库品种金额等统计，还提供了摆药出库按身份、费别、出库品种金额等统计。</w:t>
            </w:r>
          </w:p>
        </w:tc>
      </w:tr>
      <w:tr w14:paraId="3BB6F0E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CC720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25" w:type="dxa"/>
            <w:vMerge w:val="continue"/>
            <w:tcBorders>
              <w:left w:val="single" w:color="8064A2" w:sz="8" w:space="0"/>
              <w:right w:val="single" w:color="8064A2" w:sz="8" w:space="0"/>
            </w:tcBorders>
            <w:shd w:val="clear" w:color="auto" w:fill="FFFFFF"/>
            <w:noWrap w:val="0"/>
            <w:vAlign w:val="center"/>
          </w:tcPr>
          <w:p w14:paraId="75A916B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C9F80D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处方管理系统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9532100">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接收来自病人的处方，发药人员可从待发处方列表或处方号、ID号等多种方法查找病人，同时确认处方发药并可进行已发药处方的查询。</w:t>
            </w:r>
          </w:p>
        </w:tc>
      </w:tr>
      <w:tr w14:paraId="6047CA5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6CA30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25" w:type="dxa"/>
            <w:vMerge w:val="continue"/>
            <w:tcBorders>
              <w:left w:val="single" w:color="8064A2" w:sz="8" w:space="0"/>
              <w:right w:val="single" w:color="8064A2" w:sz="8" w:space="0"/>
            </w:tcBorders>
            <w:shd w:val="clear" w:color="auto" w:fill="FFFFFF"/>
            <w:noWrap w:val="0"/>
            <w:vAlign w:val="center"/>
          </w:tcPr>
          <w:p w14:paraId="46B1AF3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CA429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医嘱管理系统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2930297">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系统提出摆药申请的病区的药品进行自动摆药计价，同时打印摆药单据；摆药人员可根据选择科室进行手工摆药计价及打印摆药单据。并可进行单病人及护理单元医嘱摆药查询。</w:t>
            </w:r>
          </w:p>
        </w:tc>
      </w:tr>
      <w:tr w14:paraId="6DC764A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EFA579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825" w:type="dxa"/>
            <w:vMerge w:val="continue"/>
            <w:tcBorders>
              <w:left w:val="single" w:color="8064A2" w:sz="8" w:space="0"/>
              <w:right w:val="single" w:color="8064A2" w:sz="8" w:space="0"/>
            </w:tcBorders>
            <w:shd w:val="clear" w:color="auto" w:fill="FFFFFF"/>
            <w:noWrap w:val="0"/>
            <w:vAlign w:val="center"/>
          </w:tcPr>
          <w:p w14:paraId="355B5CE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7EF41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临床药师工作站</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4BD454">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支持临床药师可通过系统快速了解需重点关注的患者，对患者进行临床管理。支持快速获取重点关注、已编写电子药历、监护异常患者功能，支持查看患者已接受的药学服务事项功能。</w:t>
            </w:r>
          </w:p>
        </w:tc>
      </w:tr>
      <w:tr w14:paraId="599C392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40706B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7CA10B6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314FD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集采药品管理系统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251DCC">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rPr>
              <w:t>集采药品使用监测图表</w:t>
            </w:r>
            <w:r>
              <w:rPr>
                <w:rFonts w:hint="eastAsia" w:ascii="仿宋" w:hAnsi="仿宋" w:eastAsia="仿宋" w:cs="仿宋"/>
                <w:sz w:val="24"/>
                <w:szCs w:val="24"/>
                <w:lang w:eastAsia="zh-CN"/>
              </w:rPr>
              <w:t>，</w:t>
            </w:r>
            <w:r>
              <w:rPr>
                <w:rFonts w:hint="eastAsia" w:ascii="仿宋" w:hAnsi="仿宋" w:eastAsia="仿宋" w:cs="仿宋"/>
                <w:sz w:val="24"/>
                <w:szCs w:val="24"/>
              </w:rPr>
              <w:t>系统</w:t>
            </w:r>
            <w:r>
              <w:rPr>
                <w:rFonts w:hint="eastAsia" w:ascii="仿宋" w:hAnsi="仿宋" w:eastAsia="仿宋" w:cs="仿宋"/>
                <w:sz w:val="24"/>
                <w:szCs w:val="24"/>
                <w:lang w:val="en-US" w:eastAsia="zh-CN"/>
              </w:rPr>
              <w:t>支持</w:t>
            </w:r>
            <w:r>
              <w:rPr>
                <w:rFonts w:hint="eastAsia" w:ascii="仿宋" w:hAnsi="仿宋" w:eastAsia="仿宋" w:cs="仿宋"/>
                <w:sz w:val="24"/>
                <w:szCs w:val="24"/>
              </w:rPr>
              <w:t>能根据院内集采药品的使用情况</w:t>
            </w:r>
            <w:r>
              <w:rPr>
                <w:rFonts w:hint="eastAsia" w:ascii="仿宋" w:hAnsi="仿宋" w:eastAsia="仿宋" w:cs="仿宋"/>
                <w:sz w:val="24"/>
                <w:szCs w:val="24"/>
                <w:lang w:eastAsia="zh-CN"/>
              </w:rPr>
              <w:t>，</w:t>
            </w:r>
            <w:r>
              <w:rPr>
                <w:rFonts w:hint="eastAsia" w:ascii="仿宋" w:hAnsi="仿宋" w:eastAsia="仿宋" w:cs="仿宋"/>
                <w:sz w:val="24"/>
                <w:szCs w:val="24"/>
              </w:rPr>
              <w:t>系统</w:t>
            </w:r>
            <w:r>
              <w:rPr>
                <w:rFonts w:hint="eastAsia" w:ascii="仿宋" w:hAnsi="仿宋" w:eastAsia="仿宋" w:cs="仿宋"/>
                <w:sz w:val="24"/>
                <w:szCs w:val="24"/>
                <w:lang w:val="en-US" w:eastAsia="zh-CN"/>
              </w:rPr>
              <w:t>支持</w:t>
            </w:r>
            <w:r>
              <w:rPr>
                <w:rFonts w:hint="eastAsia" w:ascii="仿宋" w:hAnsi="仿宋" w:eastAsia="仿宋" w:cs="仿宋"/>
                <w:sz w:val="24"/>
                <w:szCs w:val="24"/>
              </w:rPr>
              <w:t>能根据集采药品在院内的历史使用情况</w:t>
            </w:r>
            <w:r>
              <w:rPr>
                <w:rFonts w:hint="eastAsia" w:ascii="仿宋" w:hAnsi="仿宋" w:eastAsia="仿宋" w:cs="仿宋"/>
                <w:sz w:val="24"/>
                <w:szCs w:val="24"/>
                <w:lang w:eastAsia="zh-CN"/>
              </w:rPr>
              <w:t>，</w:t>
            </w:r>
            <w:r>
              <w:rPr>
                <w:rFonts w:hint="eastAsia" w:ascii="仿宋" w:hAnsi="仿宋" w:eastAsia="仿宋" w:cs="仿宋"/>
                <w:sz w:val="24"/>
                <w:szCs w:val="24"/>
              </w:rPr>
              <w:t>系统支持分级管控，能根据月任务完成进度设置管控效果</w:t>
            </w:r>
            <w:r>
              <w:rPr>
                <w:rFonts w:hint="eastAsia" w:ascii="仿宋" w:hAnsi="仿宋" w:eastAsia="仿宋" w:cs="仿宋"/>
                <w:sz w:val="24"/>
                <w:szCs w:val="24"/>
                <w:lang w:eastAsia="zh-CN"/>
              </w:rPr>
              <w:t>。</w:t>
            </w:r>
          </w:p>
        </w:tc>
      </w:tr>
      <w:tr w14:paraId="0819759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9AB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825" w:type="dxa"/>
            <w:vMerge w:val="restart"/>
            <w:tcBorders>
              <w:left w:val="single" w:color="8064A2" w:sz="8" w:space="0"/>
              <w:right w:val="single" w:color="8064A2" w:sz="8" w:space="0"/>
            </w:tcBorders>
            <w:shd w:val="clear" w:color="auto" w:fill="FFFFFF"/>
            <w:noWrap w:val="0"/>
            <w:vAlign w:val="center"/>
          </w:tcPr>
          <w:p w14:paraId="40AA5287">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健康体检管理</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125E6A">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健康体检管理系统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C5538A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作为体检中心所有业务的核心管理系统，支持完成体检业务的整体流程，涵盖团体和个人体检办卡、预约、建档、登记、收费、打折、报到、分科体检、医技科室数据传输、收单、预总检、总检、总检审核、报告解读、发放报告、体检质控、重阳管理、档案归档、消息提醒等闭环式管理流程，支持微信公众号体检相关功能管理。</w:t>
            </w:r>
          </w:p>
        </w:tc>
      </w:tr>
      <w:tr w14:paraId="6764A612">
        <w:tblPrEx>
          <w:tblCellMar>
            <w:top w:w="0" w:type="dxa"/>
            <w:left w:w="108" w:type="dxa"/>
            <w:bottom w:w="0" w:type="dxa"/>
            <w:right w:w="108" w:type="dxa"/>
          </w:tblCellMar>
        </w:tblPrEx>
        <w:trPr>
          <w:trHeight w:val="374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9EE7E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44438E7C">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6C7DDDE">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检后健康管理系统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68B7A3">
            <w:pPr>
              <w:spacing w:line="240" w:lineRule="auto"/>
              <w:ind w:firstLine="48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形式展示工作任务安排，包括健康干预、阳性跟踪以及健康服务，直观展示客户分组管理情况，待审核入组人数以及管理总人数等，支持以个人健康为核心，连续、动态地汇总客户所有相关的健康信息，并自动提取关键信息转化为具体的健康标签和形象的健康画像，支持通过监测设备自动日常自测数据，包含体重、血压、血糖、运动，饮食并能拓展监测项目。支持医生根据客户情况出具个性化的体质调理方案，支持根据健康档案自动生成个人健康报告。支持汇总展示健管医生所有的待执行干预计划，支持针对客户反馈的表扬、建议、批评等信息进行集中管理。支持针对客户的反馈进行实时处理，并通过客户端即时提醒客户等。支持微信公众号</w:t>
            </w:r>
            <w:r>
              <w:rPr>
                <w:rFonts w:hint="eastAsia" w:ascii="仿宋" w:hAnsi="仿宋" w:eastAsia="仿宋" w:cs="仿宋"/>
                <w:color w:val="000000"/>
                <w:kern w:val="0"/>
                <w:sz w:val="24"/>
                <w:szCs w:val="24"/>
                <w:lang w:val="en-US" w:eastAsia="zh-CN" w:bidi="ar"/>
              </w:rPr>
              <w:t>检后健康</w:t>
            </w:r>
            <w:r>
              <w:rPr>
                <w:rFonts w:hint="eastAsia" w:ascii="仿宋" w:hAnsi="仿宋" w:eastAsia="仿宋" w:cs="仿宋"/>
                <w:sz w:val="24"/>
                <w:szCs w:val="24"/>
                <w:lang w:val="en-US" w:eastAsia="zh-CN"/>
              </w:rPr>
              <w:t>相关功能管理。</w:t>
            </w:r>
          </w:p>
        </w:tc>
      </w:tr>
      <w:tr w14:paraId="5D298899">
        <w:tblPrEx>
          <w:tblCellMar>
            <w:top w:w="0" w:type="dxa"/>
            <w:left w:w="108" w:type="dxa"/>
            <w:bottom w:w="0" w:type="dxa"/>
            <w:right w:w="108" w:type="dxa"/>
          </w:tblCellMar>
        </w:tblPrEx>
        <w:trPr>
          <w:trHeight w:val="334"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1213B0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82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B19589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医技预约服务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5AD4C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医技统一预约平台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18FFA8">
            <w:pPr>
              <w:spacing w:line="240" w:lineRule="auto"/>
              <w:ind w:firstLine="48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放射、超声、内窥镜、心电、核医学、病理等检查的统一预约登记和安排，支持多患者类型的检查预约安排，包括门诊、住院、体检等患者，支持医生站医生给患者开立医嘱或申请单完成以后直接给患者预约，支持获取患者的所有电子申请单，并可以在同一界面查询和显示可预约资源，实现全部检查单一键预约，支持预约中心统一预约、自助预约、诊间预约、互联网预约等多种方式统一预约，支持基于规则库的预约规则排斥。</w:t>
            </w:r>
          </w:p>
          <w:p w14:paraId="25690674">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p>
        </w:tc>
      </w:tr>
      <w:tr w14:paraId="079CF4B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B41F427">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82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A1B65F7">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医保管理服务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2BEDE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医保管理系统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A9086D4">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支持实现医院医保常规管理，机构信息查询，医保服务查询、待遇查询，医保目录下载，医保项目对码，医保处方上传，医保清算，医保数据统计分析等。</w:t>
            </w:r>
          </w:p>
        </w:tc>
      </w:tr>
      <w:tr w14:paraId="637AE325">
        <w:tblPrEx>
          <w:tblCellMar>
            <w:top w:w="0" w:type="dxa"/>
            <w:left w:w="108" w:type="dxa"/>
            <w:bottom w:w="0" w:type="dxa"/>
            <w:right w:w="108" w:type="dxa"/>
          </w:tblCellMar>
        </w:tblPrEx>
        <w:trPr>
          <w:trHeight w:val="382"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1937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4EB0D25C">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病案管理服务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C9C12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病案管理系统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0740E5">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支持门诊病案管理及住院病案管理，实现病案编码、病案归档、病案质控、病案流通、病案调阅等病案全流程管理功能，支持卫统报表上报数据自动生成，支持病案各类统计分析。</w:t>
            </w:r>
          </w:p>
        </w:tc>
      </w:tr>
      <w:tr w14:paraId="3378FEE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220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825" w:type="dxa"/>
            <w:vMerge w:val="continue"/>
            <w:tcBorders>
              <w:left w:val="single" w:color="8064A2" w:sz="8" w:space="0"/>
              <w:right w:val="single" w:color="8064A2" w:sz="8" w:space="0"/>
            </w:tcBorders>
            <w:shd w:val="clear" w:color="auto" w:fill="FFFFFF"/>
            <w:noWrap w:val="0"/>
            <w:vAlign w:val="center"/>
          </w:tcPr>
          <w:p w14:paraId="5D5A893F">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2652F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无纸化病案系统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42705B">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将纸质病案通过虚拟打印、扫描、高拍仪转化为电子档案，支持 OFD、图片等格式，节省 物理存储空间，避免丢失、损坏风险。</w:t>
            </w:r>
          </w:p>
        </w:tc>
      </w:tr>
      <w:tr w14:paraId="002363A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AFD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522BA0A6">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E33C69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OFD-H医疗文档数据交换库</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EC2D55">
            <w:pPr>
              <w:spacing w:line="240" w:lineRule="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在OFD-H病历生成后，推送OFD-H电子病案、结构化数据至无纸化归档系统，支持OFD-H文档内添加附件（音视频文件，图片文件、过程签文件等）一并存储，支持OFD-H文档外相关文件与链接的关联性存储支持OFD-H文件内结构化数据封装，支持系统自动处理元数据及标签信息，使文档具有更多利用价值。支持自动解析带标引的OFD-H文档，将解析的信息填充到元数据中。</w:t>
            </w:r>
          </w:p>
        </w:tc>
      </w:tr>
      <w:tr w14:paraId="1CBC236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43CA0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CA46A0">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财务管理服务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F67C63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统一支付服务平台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DA42DF">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支持建立统一的支付接口标准如支付服务接口统一开放给第三方接入支付场景</w:t>
            </w:r>
          </w:p>
        </w:tc>
      </w:tr>
      <w:tr w14:paraId="57C98BC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768D8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156011">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06CEDD">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统一对账服务平台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A6796F">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支持查询某时间的对账汇总情况，包含对账汇总的总金额及笔数、单边账金额及笔数，包含待处理账单的待处理单边账金额及笔数、待处理HIS空单笔数，包含各商户号的对账构成情况，可按需导出对账构成。</w:t>
            </w:r>
          </w:p>
        </w:tc>
      </w:tr>
      <w:tr w14:paraId="004B3B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186E4E">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A16452">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综合统计分析</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99D8B3D">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自定义报表组件工具</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5BDCC6">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支持能够连接到各种不同的数据源，支持提供直观且易于使用的报表设计界面，用户可以通过拖拽和放置组件来设计报表的布局和样式。</w:t>
            </w:r>
          </w:p>
        </w:tc>
      </w:tr>
      <w:tr w14:paraId="282E8AA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B30CA0">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A1DCAEF">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A6CC53">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科室报表统计分析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61B9E6">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支持为临床科室定制各类主题的监控指标统计报表，方便临床及医技科室实时查询各自相关数据。</w:t>
            </w:r>
          </w:p>
        </w:tc>
      </w:tr>
      <w:tr w14:paraId="3985745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DECEF5">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485E656">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AAF80B">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医院数据质量统计分析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91F5162">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支持为院领导及医务、护理、财务、医保、绩效、门诊等各行政职能部门提供各类主题的统计报表，方便医院各层管理部门实时监管各类指标数据。</w:t>
            </w:r>
          </w:p>
        </w:tc>
      </w:tr>
      <w:tr w14:paraId="3BDF2D7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912F9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287E370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医政管理服务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232994F">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医务管理系统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61B80EE">
            <w:pPr>
              <w:widowControl/>
              <w:spacing w:line="240" w:lineRule="auto"/>
              <w:ind w:left="0" w:firstLine="0" w:firstLineChars="0"/>
              <w:jc w:val="both"/>
              <w:textAlignment w:val="center"/>
              <w:rPr>
                <w:rFonts w:hint="default" w:ascii="仿宋" w:hAnsi="仿宋" w:eastAsia="宋体"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支持医务人员管理、医师权限管理、医务日常审批管理、医师值班管理、医疗日常事务、医务制度管理、医务管理移动端等功能</w:t>
            </w:r>
          </w:p>
        </w:tc>
      </w:tr>
      <w:tr w14:paraId="5B3E2A9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671A9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825" w:type="dxa"/>
            <w:vMerge w:val="continue"/>
            <w:tcBorders>
              <w:left w:val="single" w:color="8064A2" w:sz="8" w:space="0"/>
              <w:right w:val="single" w:color="8064A2" w:sz="8" w:space="0"/>
            </w:tcBorders>
            <w:shd w:val="clear" w:color="auto" w:fill="FFFFFF"/>
            <w:noWrap w:val="0"/>
            <w:vAlign w:val="center"/>
          </w:tcPr>
          <w:p w14:paraId="1F18CB4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02BDB3">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62EED0">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支持护理制度管理、护理人员管理、护理排班管理、护理教育工作、护理质控管理、护士长工作管理、日常计划与总结、护理敏感指标分析、护理管理移动端等功能。</w:t>
            </w:r>
          </w:p>
        </w:tc>
      </w:tr>
      <w:tr w14:paraId="7B1EB071">
        <w:tblPrEx>
          <w:tblCellMar>
            <w:top w:w="0" w:type="dxa"/>
            <w:left w:w="108" w:type="dxa"/>
            <w:bottom w:w="0" w:type="dxa"/>
            <w:right w:w="108" w:type="dxa"/>
          </w:tblCellMar>
        </w:tblPrEx>
        <w:trPr>
          <w:trHeight w:val="22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25179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825" w:type="dxa"/>
            <w:vMerge w:val="continue"/>
            <w:tcBorders>
              <w:left w:val="single" w:color="8064A2" w:sz="8" w:space="0"/>
              <w:right w:val="single" w:color="8064A2" w:sz="8" w:space="0"/>
            </w:tcBorders>
            <w:shd w:val="clear" w:color="auto" w:fill="FFFFFF"/>
            <w:noWrap w:val="0"/>
            <w:vAlign w:val="center"/>
          </w:tcPr>
          <w:p w14:paraId="5C77DE4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CD50BF4">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门诊部管理及指标分析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94B295">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采用可视化模式构建门诊管理系统，对于门诊主要管理指标进行可视化展示和呈现，能够实时监测、实现数据的钻取、汇集，能够自定义展示指标（图、表可导出）。管理指标能够从业务系统中自定义抽取。利用各系统各环节产生的数据对门诊运营提供决策支持，提升门诊部主动管理能力。</w:t>
            </w:r>
          </w:p>
        </w:tc>
      </w:tr>
      <w:tr w14:paraId="58264BE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C3B86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825" w:type="dxa"/>
            <w:vMerge w:val="continue"/>
            <w:tcBorders>
              <w:left w:val="single" w:color="8064A2" w:sz="8" w:space="0"/>
              <w:right w:val="single" w:color="8064A2" w:sz="8" w:space="0"/>
            </w:tcBorders>
            <w:shd w:val="clear" w:color="auto" w:fill="FFFFFF"/>
            <w:noWrap w:val="0"/>
            <w:vAlign w:val="center"/>
          </w:tcPr>
          <w:p w14:paraId="27FAE17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03DA6A">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慢病管理系统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218919E">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支持患者管理档案管理，健康监测数据采集个性化治疗方案制定，用药管理，健康提醒，随访管理随访计划等慢病管理</w:t>
            </w:r>
          </w:p>
        </w:tc>
      </w:tr>
      <w:tr w14:paraId="2DCAA93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3D20E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25" w:type="dxa"/>
            <w:vMerge w:val="continue"/>
            <w:tcBorders>
              <w:left w:val="single" w:color="8064A2" w:sz="8" w:space="0"/>
              <w:right w:val="single" w:color="8064A2" w:sz="8" w:space="0"/>
            </w:tcBorders>
            <w:shd w:val="clear" w:color="auto" w:fill="FFFFFF"/>
            <w:noWrap w:val="0"/>
            <w:vAlign w:val="center"/>
          </w:tcPr>
          <w:p w14:paraId="338828C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D5DAE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临床路径管理系统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AF423B">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临床路径</w:t>
            </w:r>
            <w:r>
              <w:rPr>
                <w:rFonts w:hint="eastAsia" w:ascii="仿宋" w:hAnsi="仿宋" w:eastAsia="仿宋" w:cs="仿宋"/>
                <w:sz w:val="24"/>
                <w:szCs w:val="24"/>
                <w:lang w:val="en-US" w:eastAsia="zh-CN"/>
              </w:rPr>
              <w:t>模板</w:t>
            </w:r>
            <w:r>
              <w:rPr>
                <w:rFonts w:hint="eastAsia" w:ascii="仿宋" w:hAnsi="仿宋" w:eastAsia="仿宋" w:cs="仿宋"/>
                <w:sz w:val="24"/>
                <w:szCs w:val="24"/>
                <w:lang w:val="en-GB" w:eastAsia="zh-CN"/>
              </w:rPr>
              <w:t>具体内容制定，</w:t>
            </w:r>
            <w:r>
              <w:rPr>
                <w:rFonts w:hint="eastAsia" w:ascii="仿宋" w:hAnsi="仿宋" w:eastAsia="仿宋" w:cs="仿宋"/>
                <w:sz w:val="24"/>
                <w:szCs w:val="24"/>
                <w:lang w:val="en-US" w:eastAsia="zh-CN"/>
              </w:rPr>
              <w:t>支持入径管理、临床路径医嘱执行、变异管理、出径管理及监控统计分析。</w:t>
            </w:r>
          </w:p>
        </w:tc>
      </w:tr>
      <w:tr w14:paraId="0A94EE0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80CD17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825" w:type="dxa"/>
            <w:vMerge w:val="continue"/>
            <w:tcBorders>
              <w:left w:val="single" w:color="8064A2" w:sz="8" w:space="0"/>
              <w:right w:val="single" w:color="8064A2" w:sz="8" w:space="0"/>
            </w:tcBorders>
            <w:shd w:val="clear" w:color="auto" w:fill="FFFFFF"/>
            <w:noWrap w:val="0"/>
            <w:vAlign w:val="center"/>
          </w:tcPr>
          <w:p w14:paraId="06EA789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E4575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危急值管理平台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83325CC">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系统支持主动通过接口监测并接收检验、检查系统的所有报告数据，并依照规则进行相关的危急值判断，筛选出潜在的危急值。支持通过消息机制和提醒机制，实现对不同危急值的不同提醒方式和管理流程。</w:t>
            </w:r>
          </w:p>
        </w:tc>
      </w:tr>
      <w:tr w14:paraId="61DD6FF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522F7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825" w:type="dxa"/>
            <w:vMerge w:val="continue"/>
            <w:tcBorders>
              <w:left w:val="single" w:color="8064A2" w:sz="8" w:space="0"/>
              <w:right w:val="single" w:color="8064A2" w:sz="8" w:space="0"/>
            </w:tcBorders>
            <w:shd w:val="clear" w:color="auto" w:fill="FFFFFF"/>
            <w:noWrap w:val="0"/>
            <w:vAlign w:val="center"/>
          </w:tcPr>
          <w:p w14:paraId="7A9C895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6AA37C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不良事件管理系统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FFFD020">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支持不良事件填报及管理，类型包含但不限于护理管理类、医疗管理类 、医技管理类 、输血类 、器械管理类 、人体受试者研究相关事件 、药品管理类 、院内感染管理类 、职业防护管理类 、信息管理类 、后勤管理类 、治安管理类 、其他类等。</w:t>
            </w:r>
          </w:p>
        </w:tc>
      </w:tr>
      <w:tr w14:paraId="3493FFF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0609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825" w:type="dxa"/>
            <w:vMerge w:val="continue"/>
            <w:tcBorders>
              <w:left w:val="single" w:color="8064A2" w:sz="8" w:space="0"/>
              <w:right w:val="single" w:color="8064A2" w:sz="8" w:space="0"/>
            </w:tcBorders>
            <w:shd w:val="clear" w:color="auto" w:fill="FFFFFF"/>
            <w:noWrap w:val="0"/>
            <w:vAlign w:val="center"/>
          </w:tcPr>
          <w:p w14:paraId="0CB5E4F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1CE13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多学科会诊（MDT）管理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EE3B22">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MDT团队管理，院内MDT团队信息、团队负责人、团队助理、团队成员，团队介绍。</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MDT专家管理，MDT人员信息、专家信息，职称，擅长领域等管理。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召集会诊，协调员召集会诊医生，并支持医生签到，组织医生进行会诊，充分讨论病例内容</w:t>
            </w:r>
            <w:r>
              <w:rPr>
                <w:rFonts w:hint="eastAsia" w:ascii="仿宋" w:hAnsi="仿宋" w:eastAsia="仿宋" w:cs="仿宋"/>
                <w:sz w:val="24"/>
                <w:szCs w:val="24"/>
                <w:lang w:val="en-US" w:eastAsia="zh-CN"/>
              </w:rPr>
              <w:t>形成多学科会诊意见。</w:t>
            </w:r>
          </w:p>
        </w:tc>
      </w:tr>
      <w:tr w14:paraId="57614C0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86C43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825" w:type="dxa"/>
            <w:vMerge w:val="continue"/>
            <w:tcBorders>
              <w:left w:val="single" w:color="8064A2" w:sz="8" w:space="0"/>
              <w:right w:val="single" w:color="8064A2" w:sz="8" w:space="0"/>
            </w:tcBorders>
            <w:shd w:val="clear" w:color="auto" w:fill="FFFFFF"/>
            <w:noWrap w:val="0"/>
            <w:vAlign w:val="center"/>
          </w:tcPr>
          <w:p w14:paraId="568E68B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1FD4AA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日间手术全流程管理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E0F9D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Hans"/>
              </w:rPr>
              <w:t>支持日间手术的</w:t>
            </w:r>
            <w:r>
              <w:rPr>
                <w:rFonts w:hint="eastAsia" w:ascii="仿宋" w:hAnsi="仿宋" w:eastAsia="仿宋" w:cs="仿宋"/>
                <w:sz w:val="24"/>
                <w:szCs w:val="24"/>
                <w:lang w:val="en-US" w:eastAsia="zh-CN"/>
              </w:rPr>
              <w:t>全流程管理</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根据医院日间手术管理流程规范，将涉及日间手术管理的医生、护士、麻醉师、管理者的业务进行全流程、一体化管理。实现从门诊患者</w:t>
            </w:r>
            <w:r>
              <w:rPr>
                <w:rFonts w:hint="eastAsia" w:ascii="仿宋" w:hAnsi="仿宋" w:eastAsia="仿宋" w:cs="仿宋"/>
                <w:sz w:val="24"/>
                <w:szCs w:val="24"/>
                <w:lang w:val="en-US" w:eastAsia="zh-Hans"/>
              </w:rPr>
              <w:t>准入申请</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zh-Hans"/>
              </w:rPr>
              <w:t>日间中心患者登记、</w:t>
            </w:r>
            <w:r>
              <w:rPr>
                <w:rFonts w:hint="eastAsia" w:ascii="仿宋" w:hAnsi="仿宋" w:eastAsia="仿宋" w:cs="仿宋"/>
                <w:sz w:val="24"/>
                <w:szCs w:val="24"/>
                <w:lang w:val="en-US" w:eastAsia="zh-CN"/>
              </w:rPr>
              <w:t>麻醉门诊评估、</w:t>
            </w:r>
            <w:r>
              <w:rPr>
                <w:rFonts w:hint="eastAsia" w:ascii="仿宋" w:hAnsi="仿宋" w:eastAsia="仿宋" w:cs="仿宋"/>
                <w:sz w:val="24"/>
                <w:szCs w:val="24"/>
                <w:lang w:val="en-US" w:eastAsia="zh-Hans"/>
              </w:rPr>
              <w:t>日间预约</w:t>
            </w:r>
            <w:r>
              <w:rPr>
                <w:rFonts w:hint="eastAsia" w:ascii="仿宋" w:hAnsi="仿宋" w:eastAsia="仿宋" w:cs="仿宋"/>
                <w:sz w:val="24"/>
                <w:szCs w:val="24"/>
                <w:lang w:val="en-US" w:eastAsia="zh-CN"/>
              </w:rPr>
              <w:t>、术前宣教、术前确认、</w:t>
            </w:r>
            <w:r>
              <w:rPr>
                <w:rFonts w:hint="eastAsia" w:ascii="仿宋" w:hAnsi="仿宋" w:eastAsia="仿宋" w:cs="仿宋"/>
                <w:sz w:val="24"/>
                <w:szCs w:val="24"/>
                <w:lang w:val="en-US" w:eastAsia="zh-Hans"/>
              </w:rPr>
              <w:t>入院报到</w:t>
            </w:r>
            <w:r>
              <w:rPr>
                <w:rFonts w:hint="eastAsia" w:ascii="仿宋" w:hAnsi="仿宋" w:eastAsia="仿宋" w:cs="仿宋"/>
                <w:sz w:val="24"/>
                <w:szCs w:val="24"/>
                <w:lang w:val="en-US" w:eastAsia="zh-CN"/>
              </w:rPr>
              <w:t>、出院评估、术后随访全流程跟踪</w:t>
            </w:r>
            <w:r>
              <w:rPr>
                <w:rFonts w:hint="eastAsia" w:ascii="仿宋" w:hAnsi="仿宋" w:eastAsia="仿宋" w:cs="仿宋"/>
                <w:sz w:val="24"/>
                <w:szCs w:val="24"/>
                <w:lang w:val="en-US" w:eastAsia="zh-Hans"/>
              </w:rPr>
              <w:t>，能够调阅每个路径的事件、执行人、执行时间、执行地点、风险预测。</w:t>
            </w:r>
          </w:p>
        </w:tc>
      </w:tr>
      <w:tr w14:paraId="2D4E982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0C105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825" w:type="dxa"/>
            <w:vMerge w:val="continue"/>
            <w:tcBorders>
              <w:left w:val="single" w:color="8064A2" w:sz="8" w:space="0"/>
              <w:right w:val="single" w:color="8064A2" w:sz="8" w:space="0"/>
            </w:tcBorders>
            <w:shd w:val="clear" w:color="auto" w:fill="FFFFFF"/>
            <w:noWrap w:val="0"/>
            <w:vAlign w:val="center"/>
          </w:tcPr>
          <w:p w14:paraId="57E89D5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9CB519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日间化疗全流程管理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29D668">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日间化疗全流程管理，涵盖患者基本信息、门诊病历、检查检验、手术记录、化疗方案、评估信息、宣教信息、随访信息等化疗相关医疗信息集成，并以时间轴形式展示患者化疗周期内每次化疗的节点记录，方便医护人员掌握患者基本情况。</w:t>
            </w:r>
          </w:p>
        </w:tc>
      </w:tr>
      <w:tr w14:paraId="315367D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9B7E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825" w:type="dxa"/>
            <w:vMerge w:val="continue"/>
            <w:tcBorders>
              <w:left w:val="single" w:color="8064A2" w:sz="8" w:space="0"/>
              <w:right w:val="single" w:color="8064A2" w:sz="8" w:space="0"/>
            </w:tcBorders>
            <w:shd w:val="clear" w:color="auto" w:fill="FFFFFF"/>
            <w:noWrap w:val="0"/>
            <w:vAlign w:val="center"/>
          </w:tcPr>
          <w:p w14:paraId="1D238F7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5764B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VTE管理系统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8A1C7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VTE</w:t>
            </w:r>
            <w:r>
              <w:rPr>
                <w:rFonts w:hint="eastAsia" w:ascii="仿宋" w:hAnsi="仿宋" w:eastAsia="仿宋" w:cs="仿宋"/>
                <w:sz w:val="24"/>
                <w:szCs w:val="24"/>
              </w:rPr>
              <w:t>智能防治系统实时分析患者诊疗数据，动态预警患者在院全周期VTE风险，助力医院全面筛查与风险管控，满足肿瘤、妇产等专科个性化防治需求</w:t>
            </w:r>
            <w:r>
              <w:rPr>
                <w:rFonts w:hint="eastAsia" w:ascii="仿宋" w:hAnsi="仿宋" w:eastAsia="仿宋" w:cs="仿宋"/>
                <w:sz w:val="24"/>
                <w:szCs w:val="24"/>
                <w:lang w:eastAsia="zh-CN"/>
              </w:rPr>
              <w:t>，</w:t>
            </w:r>
            <w:r>
              <w:rPr>
                <w:rFonts w:hint="eastAsia" w:ascii="仿宋" w:hAnsi="仿宋" w:eastAsia="仿宋" w:cs="仿宋"/>
                <w:sz w:val="24"/>
                <w:szCs w:val="24"/>
              </w:rPr>
              <w:t>系统将临床路径功能与CPOE打通，帮助临床医生一键执行预防医嘱，</w:t>
            </w:r>
            <w:r>
              <w:rPr>
                <w:rFonts w:hint="eastAsia" w:ascii="仿宋" w:hAnsi="仿宋" w:eastAsia="仿宋" w:cs="仿宋"/>
                <w:sz w:val="24"/>
                <w:szCs w:val="24"/>
                <w:lang w:val="en-US" w:eastAsia="zh-CN"/>
              </w:rPr>
              <w:t>提升</w:t>
            </w:r>
            <w:r>
              <w:rPr>
                <w:rFonts w:hint="eastAsia" w:ascii="仿宋" w:hAnsi="仿宋" w:eastAsia="仿宋" w:cs="仿宋"/>
                <w:sz w:val="24"/>
                <w:szCs w:val="24"/>
              </w:rPr>
              <w:t>医院VTE防治规范落地</w:t>
            </w:r>
            <w:r>
              <w:rPr>
                <w:rFonts w:hint="eastAsia" w:ascii="仿宋" w:hAnsi="仿宋" w:eastAsia="仿宋" w:cs="仿宋"/>
                <w:sz w:val="24"/>
                <w:szCs w:val="24"/>
                <w:lang w:val="en-US" w:eastAsia="zh-CN"/>
              </w:rPr>
              <w:t>应用</w:t>
            </w:r>
            <w:r>
              <w:rPr>
                <w:rFonts w:hint="eastAsia" w:ascii="仿宋" w:hAnsi="仿宋" w:eastAsia="仿宋" w:cs="仿宋"/>
                <w:sz w:val="24"/>
                <w:szCs w:val="24"/>
              </w:rPr>
              <w:t>，提升医疗质量与患者安全。</w:t>
            </w:r>
          </w:p>
        </w:tc>
      </w:tr>
      <w:tr w14:paraId="7BB614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455A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825" w:type="dxa"/>
            <w:vMerge w:val="continue"/>
            <w:tcBorders>
              <w:left w:val="single" w:color="8064A2" w:sz="8" w:space="0"/>
              <w:right w:val="single" w:color="8064A2" w:sz="8" w:space="0"/>
            </w:tcBorders>
            <w:shd w:val="clear" w:color="auto" w:fill="FFFFFF"/>
            <w:noWrap w:val="0"/>
            <w:vAlign w:val="center"/>
          </w:tcPr>
          <w:p w14:paraId="1B11AF4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E1DC0EE">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治疗管理系统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463CC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满足多院区内所有治疗</w:t>
            </w:r>
            <w:r>
              <w:rPr>
                <w:rFonts w:hint="eastAsia" w:ascii="仿宋" w:hAnsi="仿宋" w:eastAsia="仿宋" w:cs="仿宋"/>
                <w:sz w:val="24"/>
                <w:szCs w:val="24"/>
                <w:lang w:val="en-US" w:eastAsia="zh-CN"/>
              </w:rPr>
              <w:t>项目</w:t>
            </w:r>
            <w:r>
              <w:rPr>
                <w:rFonts w:hint="eastAsia" w:ascii="仿宋" w:hAnsi="仿宋" w:eastAsia="仿宋" w:cs="仿宋"/>
                <w:sz w:val="24"/>
                <w:szCs w:val="24"/>
              </w:rPr>
              <w:t>进行治疗登记、治疗安排及预约管理、治疗费用管理、治疗项目管理、治疗文书管理、治疗评估、治疗设备耗材管理、查询统计等业务工作，实现整个治疗疗程的闭环管理。</w:t>
            </w:r>
          </w:p>
        </w:tc>
      </w:tr>
      <w:tr w14:paraId="6DE5A2D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7CF8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5BF526E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417F4F">
            <w:pPr>
              <w:widowControl/>
              <w:spacing w:line="240" w:lineRule="auto"/>
              <w:ind w:left="0" w:leftChars="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kern w:val="0"/>
                <w:sz w:val="24"/>
                <w:szCs w:val="24"/>
                <w:lang w:val="en-US" w:eastAsia="zh-CN" w:bidi="ar"/>
              </w:rPr>
              <w:t>评级文档管理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92647A">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支持评级文档电子化管理，支持任务分配，支持图片文档说明录入，支持截图原始图片保存，支持文档导出自动生成电子病历评级资料，互联通评级文档资料，智慧医院评审文档资料。</w:t>
            </w:r>
          </w:p>
        </w:tc>
      </w:tr>
      <w:tr w14:paraId="138F572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0E1FA1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68E05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互联网+</w:t>
            </w:r>
            <w:r>
              <w:rPr>
                <w:rFonts w:hint="eastAsia" w:ascii="仿宋" w:hAnsi="仿宋" w:eastAsia="仿宋" w:cs="仿宋"/>
                <w:color w:val="000000"/>
                <w:kern w:val="0"/>
                <w:sz w:val="24"/>
                <w:szCs w:val="24"/>
                <w:lang w:val="en-US" w:eastAsia="zh-CN" w:bidi="ar"/>
              </w:rPr>
              <w:t>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67384B">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预问诊管理系统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022CF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在医生问诊前，利用语音识别、自然语言理解、图像识别、领域知识融合等人工智能技术，通过文字、语音、辅助检查报告图像或报告上传等方式，根据不同临床专科问诊要求，通过人机交互引导患者完成症状、现病史、既往史、辅助检查结果等临床信息采集。通过智能算法，依据病历书写要求，自动提取关键信息，生成格式标准、内容准确的病史文书，供医生在书写病历时参考和引用，帮助医生快速了解患者基本病情、减少电子病历录入时间、增加与患者交流病情的时间，提高诊疗效率，提升医疗质量</w:t>
            </w:r>
          </w:p>
        </w:tc>
      </w:tr>
      <w:tr w14:paraId="5C85AF45">
        <w:tblPrEx>
          <w:tblCellMar>
            <w:top w:w="0" w:type="dxa"/>
            <w:left w:w="108" w:type="dxa"/>
            <w:bottom w:w="0" w:type="dxa"/>
            <w:right w:w="108" w:type="dxa"/>
          </w:tblCellMar>
        </w:tblPrEx>
        <w:trPr>
          <w:trHeight w:val="27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CCE04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A0127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A1B01A">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互联网医院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937540D">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持医院微网站，支持门诊挂号、缴费、查询等诊疗服务，支持智能导诊，支持语音、图文、电话等问诊，支持病历医生诊疗接诊，支持流程化指引门诊患者就医相关节点，包含：预约信息、候诊队列、取药信息、检验\检查指引等，全流程引导患者门诊就医服务。</w:t>
            </w:r>
          </w:p>
        </w:tc>
      </w:tr>
      <w:tr w14:paraId="76DF51D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B069F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793E3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8E66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微信服务号</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493219">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医院微网站，支持门诊挂号、缴费、查询等诊疗服务，支持智能导诊，支持电子发票管理，支持住院自助服务，支持出院带药，支持医技、床位、手术等自助预约，支持病案复印，支持体检报告查阅，支持用户反馈，支持信用就医签约等。</w:t>
            </w:r>
          </w:p>
        </w:tc>
      </w:tr>
      <w:tr w14:paraId="7F8FCC8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3E50E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D8A6B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9BA4B6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诊间扫码支付</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B60440">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诊间打印单据上展示二维码，扫描二维码展示待缴费信息。支持患者用支付宝或微信扫码自动识别。支持诊间扫码医保移动支付。支持诊间扫码支付后与统一医技预约系统接入实现智能医技预约。支持诊间扫码支付后生成取药、采血等报到二维码。</w:t>
            </w:r>
          </w:p>
        </w:tc>
      </w:tr>
      <w:tr w14:paraId="59D5268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2F8A2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293D8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B1003C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支付宝小程序</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822DA3">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门诊挂号、缴费、查询等诊疗服务，支持智能导诊，支持电子发票管理，支持住院自助服务，支持出院带药，支持医技、床位、手术等自助预约，支持病案复印，支持体检报告查阅，支持用户反馈，支持信用就医签约等。</w:t>
            </w:r>
          </w:p>
        </w:tc>
      </w:tr>
      <w:tr w14:paraId="75CCB9F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58768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3E910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37BE7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护理上门服务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A49878">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支持护理服务项目订单创建及管理，支持服务人员管理，支持服务项目管理，支持订单评价管理等</w:t>
            </w:r>
          </w:p>
        </w:tc>
      </w:tr>
      <w:tr w14:paraId="20468D3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C72AD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70</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1ABED45B">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集成平台及服务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523A4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ESB总线服务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E7223DF">
            <w:pPr>
              <w:adjustRightInd w:val="0"/>
              <w:snapToGrid w:val="0"/>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为</w:t>
            </w:r>
            <w:r>
              <w:rPr>
                <w:rFonts w:hint="eastAsia" w:ascii="仿宋" w:hAnsi="仿宋" w:eastAsia="仿宋" w:cs="仿宋"/>
                <w:sz w:val="24"/>
                <w:szCs w:val="24"/>
              </w:rPr>
              <w:t>服务的提供者与调用者之间搭建一个中间层，</w:t>
            </w:r>
            <w:r>
              <w:rPr>
                <w:rFonts w:hint="eastAsia" w:ascii="仿宋" w:hAnsi="仿宋" w:eastAsia="仿宋" w:cs="仿宋"/>
                <w:sz w:val="24"/>
                <w:szCs w:val="24"/>
                <w:lang w:eastAsia="zh-CN"/>
              </w:rPr>
              <w:t>所有</w:t>
            </w:r>
            <w:r>
              <w:rPr>
                <w:rFonts w:hint="eastAsia" w:ascii="仿宋" w:hAnsi="仿宋" w:eastAsia="仿宋" w:cs="仿宋"/>
                <w:sz w:val="24"/>
                <w:szCs w:val="24"/>
              </w:rPr>
              <w:t>服务都连接到该中间层（系统总线），将业务逻辑从参与应用程序连接到每个独立端点，转移到集中化的、松耦合的、动态执行的业务逻辑中间层，以简化应用系统随业务变化而更新的过程，解决传统的“点对点”连接过程中所产生的许多问题。且消除不同应用之间的技术差异，让不同的应用服务器协调运作，实现不同服务之间的通信和整合，为数据、应用、流程整合提供服务。</w:t>
            </w:r>
          </w:p>
        </w:tc>
      </w:tr>
      <w:tr w14:paraId="1FC05B2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FC3370">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825" w:type="dxa"/>
            <w:vMerge w:val="continue"/>
            <w:tcBorders>
              <w:left w:val="single" w:color="8064A2" w:sz="8" w:space="0"/>
              <w:right w:val="single" w:color="8064A2" w:sz="8" w:space="0"/>
            </w:tcBorders>
            <w:shd w:val="clear" w:color="auto" w:fill="FFFFFF"/>
            <w:noWrap w:val="0"/>
            <w:vAlign w:val="center"/>
          </w:tcPr>
          <w:p w14:paraId="36FBD12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A2CA5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主索引管理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508AA9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负责实现平台互联互通性规范，使用由集成平台提供的组件和服务同其他信息平台互动来共同完成，确保医院内一个病人只有并且仅有一个唯一的主索引ID，各系统都可以通过这个主索引ID 取得相关的病人信息</w:t>
            </w:r>
          </w:p>
        </w:tc>
      </w:tr>
      <w:tr w14:paraId="174885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CC3C56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825" w:type="dxa"/>
            <w:vMerge w:val="continue"/>
            <w:tcBorders>
              <w:left w:val="single" w:color="8064A2" w:sz="8" w:space="0"/>
              <w:right w:val="single" w:color="8064A2" w:sz="8" w:space="0"/>
            </w:tcBorders>
            <w:shd w:val="clear" w:color="auto" w:fill="FFFFFF"/>
            <w:noWrap w:val="0"/>
            <w:vAlign w:val="center"/>
          </w:tcPr>
          <w:p w14:paraId="5F383B1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3F03C3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主数据管理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2B3090">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维护所有国家标准、卫生行业标准、业务交互标准的基础字典维护，支持主数据发布与订阅功能，实现主数据中心跟各个业务系统基础数据的同步更新。可以利用流程整合平台服务总线管理工具对基础数据进行映射、匹配和转换，定义路由发布路径，监控和追踪同步更新的状况。</w:t>
            </w:r>
          </w:p>
        </w:tc>
      </w:tr>
      <w:tr w14:paraId="7DBF332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5709E92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825" w:type="dxa"/>
            <w:vMerge w:val="continue"/>
            <w:tcBorders>
              <w:left w:val="single" w:color="8064A2" w:sz="8" w:space="0"/>
              <w:right w:val="single" w:color="8064A2" w:sz="8" w:space="0"/>
            </w:tcBorders>
            <w:shd w:val="clear" w:color="auto" w:fill="FFFFFF"/>
            <w:noWrap w:val="0"/>
            <w:vAlign w:val="center"/>
          </w:tcPr>
          <w:p w14:paraId="7E2850B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99AF63">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单点登录</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5C3D6A">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rPr>
              <w:t>常用应用</w:t>
            </w:r>
            <w:r>
              <w:rPr>
                <w:rFonts w:hint="eastAsia" w:ascii="仿宋" w:hAnsi="仿宋" w:eastAsia="仿宋" w:cs="仿宋"/>
                <w:sz w:val="24"/>
                <w:szCs w:val="24"/>
                <w:lang w:val="en-US" w:eastAsia="zh-CN"/>
              </w:rPr>
              <w:t>展示</w:t>
            </w:r>
            <w:r>
              <w:rPr>
                <w:rFonts w:hint="eastAsia" w:ascii="仿宋" w:hAnsi="仿宋" w:eastAsia="仿宋" w:cs="仿宋"/>
                <w:sz w:val="24"/>
                <w:szCs w:val="24"/>
              </w:rPr>
              <w:t>，点击率最频繁的将被推荐为常用应用</w:t>
            </w:r>
            <w:r>
              <w:rPr>
                <w:rFonts w:hint="eastAsia" w:ascii="仿宋" w:hAnsi="仿宋" w:eastAsia="仿宋" w:cs="仿宋"/>
                <w:sz w:val="24"/>
                <w:szCs w:val="24"/>
                <w:lang w:eastAsia="zh-CN"/>
              </w:rPr>
              <w:t>，</w:t>
            </w:r>
            <w:r>
              <w:rPr>
                <w:rFonts w:hint="eastAsia" w:ascii="仿宋" w:hAnsi="仿宋" w:eastAsia="仿宋" w:cs="仿宋"/>
                <w:sz w:val="24"/>
                <w:szCs w:val="24"/>
              </w:rPr>
              <w:t>显示用户权限范围内的所有应用列表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支持</w:t>
            </w:r>
            <w:r>
              <w:rPr>
                <w:rFonts w:hint="eastAsia" w:ascii="仿宋" w:hAnsi="仿宋" w:eastAsia="仿宋" w:cs="仿宋"/>
                <w:sz w:val="24"/>
                <w:szCs w:val="24"/>
              </w:rPr>
              <w:t>不同的分组分类显示应用。</w:t>
            </w:r>
            <w:r>
              <w:rPr>
                <w:rFonts w:hint="eastAsia" w:ascii="仿宋" w:hAnsi="仿宋" w:eastAsia="仿宋" w:cs="仿宋"/>
                <w:sz w:val="24"/>
                <w:szCs w:val="24"/>
                <w:lang w:val="en-US" w:eastAsia="zh-CN"/>
              </w:rPr>
              <w:t>支持</w:t>
            </w:r>
            <w:r>
              <w:rPr>
                <w:rFonts w:hint="eastAsia" w:ascii="仿宋" w:hAnsi="仿宋" w:eastAsia="仿宋" w:cs="仿宋"/>
                <w:sz w:val="24"/>
                <w:szCs w:val="24"/>
              </w:rPr>
              <w:t>CA登录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支持</w:t>
            </w:r>
            <w:r>
              <w:rPr>
                <w:rFonts w:hint="eastAsia" w:ascii="仿宋" w:hAnsi="仿宋" w:eastAsia="仿宋" w:cs="仿宋"/>
                <w:sz w:val="24"/>
                <w:szCs w:val="24"/>
              </w:rPr>
              <w:t>应用跳转，需要同时满足CS和BS架构的系统接入；提供多种改造方式供第三方系统改造。</w:t>
            </w:r>
          </w:p>
        </w:tc>
      </w:tr>
      <w:tr w14:paraId="78AF22B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65F4C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825" w:type="dxa"/>
            <w:vMerge w:val="continue"/>
            <w:tcBorders>
              <w:left w:val="single" w:color="8064A2" w:sz="8" w:space="0"/>
              <w:right w:val="single" w:color="8064A2" w:sz="8" w:space="0"/>
            </w:tcBorders>
            <w:shd w:val="clear" w:color="auto" w:fill="FFFFFF"/>
            <w:noWrap w:val="0"/>
            <w:vAlign w:val="center"/>
          </w:tcPr>
          <w:p w14:paraId="7FD86BD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E8F522">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闭环管理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B92DF7">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据医院的需求自定义医院需要的闭环、闭环需要节点名称及数量、闭环节点中要显示的内容。支持按照医院不同的业务规则进行闭环配置，对闭环获取业务数据的接口服务调用情况、服务调用耗时情况进行实时监控。</w:t>
            </w:r>
          </w:p>
        </w:tc>
      </w:tr>
      <w:tr w14:paraId="05E4F2C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34E71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25" w:type="dxa"/>
            <w:vMerge w:val="continue"/>
            <w:tcBorders>
              <w:left w:val="single" w:color="8064A2" w:sz="8" w:space="0"/>
              <w:right w:val="single" w:color="8064A2" w:sz="8" w:space="0"/>
            </w:tcBorders>
            <w:shd w:val="clear" w:color="auto" w:fill="FFFFFF"/>
            <w:noWrap w:val="0"/>
            <w:vAlign w:val="center"/>
          </w:tcPr>
          <w:p w14:paraId="2473A67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3D2242">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消息管理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D619491">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支持基于消息的传递、支持同步和异步交互方式、基于消息内容的</w:t>
            </w:r>
            <w:r>
              <w:rPr>
                <w:rFonts w:hint="default" w:ascii="仿宋" w:hAnsi="仿宋" w:eastAsia="仿宋" w:cs="仿宋"/>
                <w:color w:val="000000"/>
                <w:sz w:val="24"/>
                <w:szCs w:val="24"/>
                <w:lang w:val="en-US" w:eastAsia="zh-CN"/>
              </w:rPr>
              <w:t>服务配置注册</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服务订阅配置、服务授权</w:t>
            </w:r>
            <w:r>
              <w:rPr>
                <w:rFonts w:hint="eastAsia" w:ascii="仿宋" w:hAnsi="仿宋" w:eastAsia="仿宋" w:cs="仿宋"/>
                <w:color w:val="000000"/>
                <w:sz w:val="24"/>
                <w:szCs w:val="24"/>
                <w:lang w:val="en-US" w:eastAsia="zh-CN"/>
              </w:rPr>
              <w:t>、路由规则、数据格式转 换、值域转换，</w:t>
            </w:r>
            <w:r>
              <w:rPr>
                <w:rFonts w:hint="default" w:ascii="仿宋" w:hAnsi="仿宋" w:eastAsia="仿宋" w:cs="仿宋"/>
                <w:color w:val="000000"/>
                <w:sz w:val="24"/>
                <w:szCs w:val="24"/>
                <w:lang w:val="en-US" w:eastAsia="zh-CN"/>
              </w:rPr>
              <w:t>消息接收</w:t>
            </w:r>
            <w:r>
              <w:rPr>
                <w:rFonts w:hint="eastAsia" w:ascii="仿宋" w:hAnsi="仿宋" w:eastAsia="仿宋" w:cs="仿宋"/>
                <w:color w:val="000000"/>
                <w:sz w:val="24"/>
                <w:szCs w:val="24"/>
                <w:lang w:val="en-US" w:eastAsia="zh-CN"/>
              </w:rPr>
              <w:t>、消息监控等。</w:t>
            </w:r>
          </w:p>
        </w:tc>
      </w:tr>
      <w:tr w14:paraId="15A87FA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450CB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825" w:type="dxa"/>
            <w:vMerge w:val="continue"/>
            <w:tcBorders>
              <w:left w:val="single" w:color="8064A2" w:sz="8" w:space="0"/>
              <w:right w:val="single" w:color="8064A2" w:sz="8" w:space="0"/>
            </w:tcBorders>
            <w:shd w:val="clear" w:color="auto" w:fill="FFFFFF"/>
            <w:noWrap w:val="0"/>
            <w:vAlign w:val="center"/>
          </w:tcPr>
          <w:p w14:paraId="67BCE11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5FF3C5">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日志管理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129F4">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系统支持产品功能要求包括平台参数与报警参数配置、监控各个系统组件的状态、记录平台日志和异常信息、监控对象的启停控制、监控告警、监控可视化等模块。</w:t>
            </w:r>
          </w:p>
        </w:tc>
      </w:tr>
      <w:tr w14:paraId="0E19DC5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460B9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825" w:type="dxa"/>
            <w:vMerge w:val="continue"/>
            <w:tcBorders>
              <w:left w:val="single" w:color="8064A2" w:sz="8" w:space="0"/>
              <w:bottom w:val="single" w:color="auto" w:sz="4" w:space="0"/>
              <w:right w:val="single" w:color="8064A2" w:sz="8" w:space="0"/>
            </w:tcBorders>
            <w:shd w:val="clear" w:color="auto" w:fill="FFFFFF"/>
            <w:noWrap w:val="0"/>
            <w:vAlign w:val="center"/>
          </w:tcPr>
          <w:p w14:paraId="27FCFCA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1D9B6F">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接口集成管理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67C09FD">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lang w:val="en-US" w:eastAsia="zh-CN"/>
              </w:rPr>
              <w:t>提供一套API接口管理平台，API开放平台可以管理HIS内部数据交互接口、院内系统间数据交互接口、对外提供的数据交互接口，针对HIS内部数据交互接口在不更改医院核心业务系统的源代码的情况下,可以通过使外部的程序可以增加核心业务系统功能，也可以通过开发接口获取医院核心业务系统的资源，院内系统间接口支持API接口模式需统一纳入 一体化接口平台管理，接口运行状态、接口交互日志可以在平台查阅及监控，对外提供的API也统一在接口平台注册管理。</w:t>
            </w:r>
          </w:p>
        </w:tc>
      </w:tr>
      <w:tr w14:paraId="49498605">
        <w:tblPrEx>
          <w:tblCellMar>
            <w:top w:w="0" w:type="dxa"/>
            <w:left w:w="108" w:type="dxa"/>
            <w:bottom w:w="0" w:type="dxa"/>
            <w:right w:w="108" w:type="dxa"/>
          </w:tblCellMar>
        </w:tblPrEx>
        <w:trPr>
          <w:trHeight w:val="303" w:hRule="atLeast"/>
        </w:trPr>
        <w:tc>
          <w:tcPr>
            <w:tcW w:w="722" w:type="dxa"/>
            <w:tcBorders>
              <w:top w:val="single" w:color="auto" w:sz="4" w:space="0"/>
              <w:left w:val="single" w:color="8064A2" w:sz="8" w:space="0"/>
              <w:bottom w:val="single" w:color="8064A2" w:sz="8" w:space="0"/>
              <w:right w:val="single" w:color="8064A2" w:sz="8" w:space="0"/>
            </w:tcBorders>
            <w:shd w:val="clear" w:color="auto" w:fill="FFFFFF"/>
            <w:noWrap w:val="0"/>
            <w:vAlign w:val="center"/>
          </w:tcPr>
          <w:p w14:paraId="58593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825" w:type="dxa"/>
            <w:vMerge w:val="restart"/>
            <w:tcBorders>
              <w:top w:val="single" w:color="auto" w:sz="4" w:space="0"/>
              <w:left w:val="single" w:color="8064A2" w:sz="8" w:space="0"/>
              <w:right w:val="single" w:color="8064A2" w:sz="8" w:space="0"/>
            </w:tcBorders>
            <w:shd w:val="clear" w:color="auto" w:fill="FFFFFF"/>
            <w:noWrap w:val="0"/>
            <w:vAlign w:val="center"/>
          </w:tcPr>
          <w:p w14:paraId="7C3F03D8">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数据中心及服务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E3630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数据采集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4EF9D4C">
            <w:pPr>
              <w:spacing w:line="240" w:lineRule="auto"/>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通过数据整合，基于业务系统数据，进行数据的清洗和聚合，按照领域模型进行数据归并处理，按照不同的</w:t>
            </w:r>
            <w:r>
              <w:rPr>
                <w:rFonts w:hint="eastAsia" w:ascii="仿宋" w:hAnsi="仿宋" w:eastAsia="仿宋" w:cs="仿宋"/>
                <w:color w:val="000000"/>
                <w:sz w:val="24"/>
                <w:szCs w:val="24"/>
                <w:lang w:eastAsia="zh-CN"/>
              </w:rPr>
              <w:t>维度</w:t>
            </w:r>
            <w:r>
              <w:rPr>
                <w:rFonts w:hint="eastAsia" w:ascii="仿宋" w:hAnsi="仿宋" w:eastAsia="仿宋" w:cs="仿宋"/>
                <w:color w:val="000000"/>
                <w:sz w:val="24"/>
                <w:szCs w:val="24"/>
              </w:rPr>
              <w:t>、患者、医保、手术等建设数据仓库，为医院的临床、管理、运营系统提供数据支撑；汇集现有系统中的全部数据，实现数据离散化，解析成最小元素，按临床、科研和管理的要求重新组织，供临床决策、管理分析使用数据，为科研和数据挖掘提供支撑。</w:t>
            </w:r>
            <w:r>
              <w:rPr>
                <w:rFonts w:hint="eastAsia" w:ascii="仿宋" w:hAnsi="仿宋" w:eastAsia="仿宋" w:cs="仿宋"/>
                <w:color w:val="000000"/>
                <w:sz w:val="24"/>
                <w:szCs w:val="24"/>
                <w:lang w:val="en-US" w:eastAsia="zh-CN"/>
              </w:rPr>
              <w:t>数据中心数据采集应包含本项目建设相关系统及医院原有系统数据采集。</w:t>
            </w:r>
          </w:p>
        </w:tc>
      </w:tr>
      <w:tr w14:paraId="0499AF3A">
        <w:tblPrEx>
          <w:tblCellMar>
            <w:top w:w="0" w:type="dxa"/>
            <w:left w:w="108" w:type="dxa"/>
            <w:bottom w:w="0" w:type="dxa"/>
            <w:right w:w="108" w:type="dxa"/>
          </w:tblCellMar>
        </w:tblPrEx>
        <w:trPr>
          <w:trHeight w:val="303" w:hRule="atLeast"/>
        </w:trPr>
        <w:tc>
          <w:tcPr>
            <w:tcW w:w="722" w:type="dxa"/>
            <w:tcBorders>
              <w:top w:val="single" w:color="auto" w:sz="4" w:space="0"/>
              <w:left w:val="single" w:color="8064A2" w:sz="8" w:space="0"/>
              <w:bottom w:val="single" w:color="8064A2" w:sz="8" w:space="0"/>
              <w:right w:val="single" w:color="8064A2" w:sz="8" w:space="0"/>
            </w:tcBorders>
            <w:shd w:val="clear" w:color="auto" w:fill="FFFFFF"/>
            <w:noWrap w:val="0"/>
            <w:vAlign w:val="center"/>
          </w:tcPr>
          <w:p w14:paraId="7FF55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825" w:type="dxa"/>
            <w:vMerge w:val="continue"/>
            <w:tcBorders>
              <w:left w:val="single" w:color="8064A2" w:sz="8" w:space="0"/>
              <w:right w:val="single" w:color="8064A2" w:sz="8" w:space="0"/>
            </w:tcBorders>
            <w:shd w:val="clear" w:color="auto" w:fill="FFFFFF"/>
            <w:noWrap w:val="0"/>
            <w:vAlign w:val="center"/>
          </w:tcPr>
          <w:p w14:paraId="77645DDB">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6D282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数据治理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2FA689">
            <w:pPr>
              <w:spacing w:line="240" w:lineRule="auto"/>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实现</w:t>
            </w:r>
            <w:r>
              <w:rPr>
                <w:rFonts w:hint="eastAsia" w:ascii="仿宋" w:hAnsi="仿宋" w:eastAsia="仿宋" w:cs="仿宋"/>
                <w:color w:val="000000"/>
                <w:sz w:val="24"/>
                <w:szCs w:val="24"/>
              </w:rPr>
              <w:t>数据采集清洗标准化</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包含数据采集、数据清洗、数据转化及存储、</w:t>
            </w:r>
            <w:r>
              <w:rPr>
                <w:rFonts w:hint="eastAsia" w:ascii="仿宋" w:hAnsi="仿宋" w:eastAsia="仿宋" w:cs="仿宋"/>
                <w:color w:val="000000"/>
                <w:sz w:val="24"/>
                <w:szCs w:val="24"/>
              </w:rPr>
              <w:t>数据生命周期管理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数据应用授权与监控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数据安全管理与监控</w:t>
            </w:r>
            <w:r>
              <w:rPr>
                <w:rFonts w:hint="eastAsia" w:ascii="仿宋" w:hAnsi="仿宋" w:eastAsia="仿宋" w:cs="仿宋"/>
                <w:color w:val="000000"/>
                <w:sz w:val="24"/>
                <w:szCs w:val="24"/>
                <w:lang w:val="en-US" w:eastAsia="zh-CN"/>
              </w:rPr>
              <w:t>等。</w:t>
            </w:r>
          </w:p>
        </w:tc>
      </w:tr>
      <w:tr w14:paraId="5DD2246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81313F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25" w:type="dxa"/>
            <w:vMerge w:val="continue"/>
            <w:tcBorders>
              <w:left w:val="single" w:color="8064A2" w:sz="8" w:space="0"/>
              <w:right w:val="single" w:color="8064A2" w:sz="8" w:space="0"/>
            </w:tcBorders>
            <w:shd w:val="clear" w:color="auto" w:fill="FFFFFF"/>
            <w:noWrap w:val="0"/>
            <w:vAlign w:val="center"/>
          </w:tcPr>
          <w:p w14:paraId="2F8FE87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81C8F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4A2D0FC">
            <w:pPr>
              <w:spacing w:line="240" w:lineRule="auto"/>
              <w:jc w:val="both"/>
              <w:rPr>
                <w:rFonts w:hint="eastAsia" w:ascii="仿宋" w:hAnsi="仿宋" w:eastAsia="仿宋" w:cs="仿宋"/>
                <w:sz w:val="24"/>
                <w:szCs w:val="24"/>
              </w:rPr>
            </w:pPr>
            <w:r>
              <w:rPr>
                <w:rFonts w:hint="eastAsia" w:ascii="仿宋" w:hAnsi="仿宋" w:eastAsia="仿宋" w:cs="仿宋"/>
                <w:sz w:val="24"/>
                <w:szCs w:val="24"/>
              </w:rPr>
              <w:t>提供临床业务模型输出患者数据。就诊数据、医嘱数据及各类报告文书等数据进行整合存储，建立关联关系。支持对历史患者信息、医嘱、检查、检验、病理、手术、病案等数据进行抽取、清洗、转换，按标准化、结构化、分类存储。临床数据中心的数据集成以患者为中心，以就诊为索引的所有临床数据。数据接入可以支持多种数据接入形式与数据规范。</w:t>
            </w:r>
          </w:p>
          <w:p w14:paraId="61A812A4">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p>
        </w:tc>
      </w:tr>
      <w:tr w14:paraId="4F74F6C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1CA9E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825" w:type="dxa"/>
            <w:vMerge w:val="continue"/>
            <w:tcBorders>
              <w:left w:val="single" w:color="8064A2" w:sz="8" w:space="0"/>
              <w:right w:val="single" w:color="8064A2" w:sz="8" w:space="0"/>
            </w:tcBorders>
            <w:shd w:val="clear" w:color="auto" w:fill="FFFFFF"/>
            <w:noWrap w:val="0"/>
            <w:vAlign w:val="center"/>
          </w:tcPr>
          <w:p w14:paraId="6DACC87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29345F">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运营数据中心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797CFF">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支持以运营数据中心为核心的服务建设运营决策支持系统、移动运营决策支持系统。支持实时或近实时的数据存储方式。通过对医院数据仓库的数据抽取、清洗、转换处理后集中存储，所产生的数据支持灵活</w:t>
            </w: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rPr>
              <w:t>查询利用。支持根据医院业务管</w:t>
            </w:r>
            <w:r>
              <w:rPr>
                <w:rFonts w:hint="eastAsia" w:ascii="仿宋" w:hAnsi="仿宋" w:eastAsia="仿宋" w:cs="仿宋"/>
                <w:color w:val="000000"/>
                <w:sz w:val="24"/>
                <w:szCs w:val="24"/>
                <w:lang w:eastAsia="zh-CN"/>
              </w:rPr>
              <w:t>理领</w:t>
            </w:r>
            <w:r>
              <w:rPr>
                <w:rFonts w:hint="eastAsia" w:ascii="仿宋" w:hAnsi="仿宋" w:eastAsia="仿宋" w:cs="仿宋"/>
                <w:color w:val="000000"/>
                <w:sz w:val="24"/>
                <w:szCs w:val="24"/>
              </w:rPr>
              <w:t>域设计运营数据中心的存储结构模型。支持医院运营管理和医疗质量管理KPI监管指标的内置，指标包含业务量、收入、工作效率、感染、合理用药主题。支持通过数据校验机制保障前台展示数据和业务系统数据以及相关报表数据口径的一致性。</w:t>
            </w:r>
          </w:p>
        </w:tc>
      </w:tr>
      <w:tr w14:paraId="5B24611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7B008B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82</w:t>
            </w:r>
          </w:p>
        </w:tc>
        <w:tc>
          <w:tcPr>
            <w:tcW w:w="825" w:type="dxa"/>
            <w:vMerge w:val="continue"/>
            <w:tcBorders>
              <w:left w:val="single" w:color="8064A2" w:sz="8" w:space="0"/>
              <w:right w:val="single" w:color="8064A2" w:sz="8" w:space="0"/>
            </w:tcBorders>
            <w:shd w:val="clear" w:color="auto" w:fill="FFFFFF"/>
            <w:noWrap w:val="0"/>
            <w:vAlign w:val="center"/>
          </w:tcPr>
          <w:p w14:paraId="0D14A2B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6A145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科研数据中心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7B7732">
            <w:pPr>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通过开展数据治理评估和专病数据模型的语义分析等工作，最后构建面向临床、科研和医疗质量管理的专科专病库。</w:t>
            </w:r>
          </w:p>
          <w:p w14:paraId="747AD3CA">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sz w:val="24"/>
                <w:szCs w:val="24"/>
                <w:lang w:val="en-US" w:eastAsia="zh-CN"/>
              </w:rPr>
              <w:t>包含数据采集、数据治理、数据脱敏、数据加密、数据简析、数据结构化处理、数据校验、数据溯源等功能。</w:t>
            </w:r>
          </w:p>
        </w:tc>
      </w:tr>
      <w:tr w14:paraId="3F3C3FC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67B6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825" w:type="dxa"/>
            <w:vMerge w:val="continue"/>
            <w:tcBorders>
              <w:left w:val="single" w:color="8064A2" w:sz="8" w:space="0"/>
              <w:right w:val="single" w:color="8064A2" w:sz="8" w:space="0"/>
            </w:tcBorders>
            <w:shd w:val="clear" w:color="auto" w:fill="FFFFFF"/>
            <w:noWrap w:val="0"/>
            <w:vAlign w:val="center"/>
          </w:tcPr>
          <w:p w14:paraId="5F97D5F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F5B8A8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共享文档管理系统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05C4E9">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据医院项目中结果数据建设范围，实现医疗活动中产生的检查报告、检验报告、护理文书、门诊病历、住院病历、预检留观病历、医嘱单纸质文档的翻拍后纸质文档的共享管理。支持生成统一PDF和OFD标准文档接口，各业务系统根据标准接口生成文档内容。支持统一的文档共享方式。支持CDA共享文档</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提供互联互通评审所需标准数据集、标准CDA共享文档的改造时与平台的联调，提供标准数据集生成，标准CDA文档生成并上传标准CDA文档到官网测试网站进行验证的服务。</w:t>
            </w:r>
          </w:p>
        </w:tc>
      </w:tr>
      <w:tr w14:paraId="705B529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47CA7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4</w:t>
            </w:r>
          </w:p>
        </w:tc>
        <w:tc>
          <w:tcPr>
            <w:tcW w:w="825" w:type="dxa"/>
            <w:vMerge w:val="continue"/>
            <w:tcBorders>
              <w:left w:val="single" w:color="8064A2" w:sz="8" w:space="0"/>
              <w:right w:val="single" w:color="8064A2" w:sz="8" w:space="0"/>
            </w:tcBorders>
            <w:shd w:val="clear" w:color="auto" w:fill="FFFFFF"/>
            <w:noWrap w:val="0"/>
            <w:vAlign w:val="center"/>
          </w:tcPr>
          <w:p w14:paraId="1147031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531C27">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患者360全息视图</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559D02">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tc>
      </w:tr>
      <w:tr w14:paraId="6DA3B2A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CB41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5</w:t>
            </w:r>
          </w:p>
        </w:tc>
        <w:tc>
          <w:tcPr>
            <w:tcW w:w="825" w:type="dxa"/>
            <w:vMerge w:val="continue"/>
            <w:tcBorders>
              <w:left w:val="single" w:color="8064A2" w:sz="8" w:space="0"/>
              <w:right w:val="single" w:color="8064A2" w:sz="8" w:space="0"/>
            </w:tcBorders>
            <w:shd w:val="clear" w:color="auto" w:fill="FFFFFF"/>
            <w:noWrap w:val="0"/>
            <w:vAlign w:val="center"/>
          </w:tcPr>
          <w:p w14:paraId="1CD2149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8750C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智能分析引擎</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923C2D">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支持自定义所需的数据分析画面，以多重视窗模式让多数据表、多统计图、多数据源追踪等资讯可同时呈现，可根据需要产生关联，提升使用者对于数据源溯源。</w:t>
            </w:r>
          </w:p>
        </w:tc>
      </w:tr>
      <w:tr w14:paraId="21B45B9A">
        <w:tblPrEx>
          <w:tblCellMar>
            <w:top w:w="0" w:type="dxa"/>
            <w:left w:w="108" w:type="dxa"/>
            <w:bottom w:w="0" w:type="dxa"/>
            <w:right w:w="108" w:type="dxa"/>
          </w:tblCellMar>
        </w:tblPrEx>
        <w:trPr>
          <w:trHeight w:val="79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3357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6</w:t>
            </w:r>
          </w:p>
        </w:tc>
        <w:tc>
          <w:tcPr>
            <w:tcW w:w="825" w:type="dxa"/>
            <w:vMerge w:val="continue"/>
            <w:tcBorders>
              <w:left w:val="single" w:color="8064A2" w:sz="8" w:space="0"/>
              <w:right w:val="single" w:color="8064A2" w:sz="8" w:space="0"/>
            </w:tcBorders>
            <w:shd w:val="clear" w:color="auto" w:fill="FFFFFF"/>
            <w:noWrap w:val="0"/>
            <w:vAlign w:val="center"/>
          </w:tcPr>
          <w:p w14:paraId="6F0D9AC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3ABE5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智能监控预警大屏系统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11E54D">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针对医院核心主题指标，提供效果图动态渲染实时展现到监控大屏，支持多院区、多主题动态轮播。</w:t>
            </w:r>
          </w:p>
        </w:tc>
      </w:tr>
      <w:tr w14:paraId="2DB6A614">
        <w:tblPrEx>
          <w:tblCellMar>
            <w:top w:w="0" w:type="dxa"/>
            <w:left w:w="108" w:type="dxa"/>
            <w:bottom w:w="0" w:type="dxa"/>
            <w:right w:w="108" w:type="dxa"/>
          </w:tblCellMar>
        </w:tblPrEx>
        <w:trPr>
          <w:trHeight w:val="46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929158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825" w:type="dxa"/>
            <w:vMerge w:val="continue"/>
            <w:tcBorders>
              <w:left w:val="single" w:color="8064A2" w:sz="8" w:space="0"/>
              <w:right w:val="single" w:color="8064A2" w:sz="8" w:space="0"/>
            </w:tcBorders>
            <w:shd w:val="clear" w:color="auto" w:fill="FFFFFF"/>
            <w:noWrap w:val="0"/>
            <w:vAlign w:val="center"/>
          </w:tcPr>
          <w:p w14:paraId="5835473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92F58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BI决策支持系统（含移动版）</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028924">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基于数据中心数据提供医疗负荷、医疗效能、医疗质量、医疗收入、安全指标、病种质量监测、院感质量监测、合理用药监测等指标整体，为医院提供运营决策支持。</w:t>
            </w:r>
          </w:p>
        </w:tc>
      </w:tr>
      <w:tr w14:paraId="75492CF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9F5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825" w:type="dxa"/>
            <w:vMerge w:val="continue"/>
            <w:tcBorders>
              <w:left w:val="single" w:color="8064A2" w:sz="8" w:space="0"/>
              <w:right w:val="single" w:color="8064A2" w:sz="8" w:space="0"/>
            </w:tcBorders>
            <w:shd w:val="clear" w:color="auto" w:fill="FFFFFF"/>
            <w:noWrap w:val="0"/>
            <w:vAlign w:val="center"/>
          </w:tcPr>
          <w:p w14:paraId="24CC46A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90E7BA">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等级医院评审系统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001D3D">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国家卫生健康委关于印发《三级医院评审标准（2025）》的文件要求中的第二部分，对医疗服务能力与质量安全进行数据监测。内容包括医院资源配置、质量、安全、服务、绩效等指标监测、DRG评价、单病种和重点医疗技术质量控制指标。</w:t>
            </w:r>
          </w:p>
        </w:tc>
      </w:tr>
      <w:tr w14:paraId="601CC50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B13B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9</w:t>
            </w:r>
          </w:p>
        </w:tc>
        <w:tc>
          <w:tcPr>
            <w:tcW w:w="825" w:type="dxa"/>
            <w:vMerge w:val="continue"/>
            <w:tcBorders>
              <w:left w:val="single" w:color="8064A2" w:sz="8" w:space="0"/>
              <w:right w:val="single" w:color="8064A2" w:sz="8" w:space="0"/>
            </w:tcBorders>
            <w:shd w:val="clear" w:color="auto" w:fill="FFFFFF"/>
            <w:noWrap w:val="0"/>
            <w:vAlign w:val="center"/>
          </w:tcPr>
          <w:p w14:paraId="3ADB8C5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99208F">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公立医院绩效考核</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A87019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依据国务院办公厅颁发的《国家三级公立医院绩效考核操作手册（2024 版）》文件要求，统一对三级公立医院绩效进行考核，考核的指标体系由医疗质量、运营效率、持续发展、满意度评价4个方面的指标构成。</w:t>
            </w:r>
          </w:p>
        </w:tc>
      </w:tr>
      <w:tr w14:paraId="04B4764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111E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90</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0A5A081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4D9CA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数据上报管理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F2B1A8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提供数据上报管理功能，实现数据中心对接上级或其他数据平台，实现数据定时上报管理。</w:t>
            </w:r>
          </w:p>
        </w:tc>
      </w:tr>
      <w:tr w14:paraId="6BF26527">
        <w:tblPrEx>
          <w:tblCellMar>
            <w:top w:w="0" w:type="dxa"/>
            <w:left w:w="108" w:type="dxa"/>
            <w:bottom w:w="0" w:type="dxa"/>
            <w:right w:w="108" w:type="dxa"/>
          </w:tblCellMar>
        </w:tblPrEx>
        <w:trPr>
          <w:trHeight w:val="40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0256AF3">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91</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55A023C0">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AI产品</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99EB7C">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门诊AI智能接诊助手</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542707">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过结合自然语言处理（NLP）、机器学习和大数据分析等技术，为患者和医生提供高效、精准的辅助服务，通过多轮对话或结构化表单收集患者主诉自动转化生成初步结构化病历供医生参考，减少医生手动录入时间，支持外部图片上传及识别，生成的数据应标明标识AI标签，医生可以对生成的病历确认后引用为门诊病历，提供可能的鉴别诊断，提供检查建议，能推荐针对性检验检查或专科转诊。提供推荐用药及用药提醒。支持解析检验结果。支持生成饮食、运动指导。支持随访提醒，自动推送复诊时间。</w:t>
            </w:r>
          </w:p>
        </w:tc>
      </w:tr>
      <w:tr w14:paraId="5475B2E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8D4B7C">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92</w:t>
            </w:r>
          </w:p>
        </w:tc>
        <w:tc>
          <w:tcPr>
            <w:tcW w:w="825" w:type="dxa"/>
            <w:vMerge w:val="continue"/>
            <w:tcBorders>
              <w:left w:val="single" w:color="8064A2" w:sz="8" w:space="0"/>
              <w:right w:val="single" w:color="8064A2" w:sz="8" w:space="0"/>
            </w:tcBorders>
            <w:shd w:val="clear" w:color="auto" w:fill="FFFFFF"/>
            <w:noWrap w:val="0"/>
            <w:vAlign w:val="center"/>
          </w:tcPr>
          <w:p w14:paraId="4ADDF92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9102D9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住院AI病历助手</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4FEB90B">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过结合自然语言处理（NLP）、机器学习和大数据分析等技术，为患者和医生提供高效、精准的辅助服务.支持通过语音识别（ASR）将医生的口头记录实时转为结构化文本，支持多语种和医学术语优化，基于上下文提示未填写的关键字段，识别矛盾内容，自动纠正非标准术语，结合患者症状、检验结果，推荐可能的诊断，根据指南推荐药物、剂量或手术方式，并提示禁忌症。对异常指标或高风险因素实时提醒。自动抓取HIS、EMR、LIS、PACS中的医嘱记录、病历记录、检查结果、用药记录生成入院病程记录、首次病程病历、查房记录、出院小结等。</w:t>
            </w:r>
          </w:p>
        </w:tc>
      </w:tr>
      <w:tr w14:paraId="1F46BD6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5B87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93</w:t>
            </w:r>
          </w:p>
        </w:tc>
        <w:tc>
          <w:tcPr>
            <w:tcW w:w="825" w:type="dxa"/>
            <w:vMerge w:val="continue"/>
            <w:tcBorders>
              <w:left w:val="single" w:color="8064A2" w:sz="8" w:space="0"/>
              <w:right w:val="single" w:color="8064A2" w:sz="8" w:space="0"/>
            </w:tcBorders>
            <w:shd w:val="clear" w:color="auto" w:fill="FFFFFF"/>
            <w:noWrap w:val="0"/>
            <w:vAlign w:val="center"/>
          </w:tcPr>
          <w:p w14:paraId="44A1A40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949B5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智能患者院后管理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72352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于对患者诊疗数据的智能分析，为出院患者提供全面出院后管理，包括健康管理、健康教育、咨询支持、家庭病床等内容。制定个性化随访计划，提供智能化交互，提醒患者复查、随访和治疗方案调整。利用可穿戴设备和移动应用，收集分析患者生理参数，及时预警并指导患者采取相应措施。用药计划管理，通过定时提醒和依从性跟踪确保患者合理用药。提供个性化康复指导，帮助患者加速康复进程。提供专家或其数字分身的在线咨询，及时解决院后健康管理疑问。通过智能服务，提高患者的依从性和康复效果，减轻医护人员的工作负担，优化医疗资源配置，提升医疗服务效率和质量。</w:t>
            </w:r>
          </w:p>
        </w:tc>
      </w:tr>
      <w:tr w14:paraId="1856925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70010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94</w:t>
            </w:r>
          </w:p>
        </w:tc>
        <w:tc>
          <w:tcPr>
            <w:tcW w:w="825" w:type="dxa"/>
            <w:vMerge w:val="continue"/>
            <w:tcBorders>
              <w:left w:val="single" w:color="8064A2" w:sz="8" w:space="0"/>
              <w:right w:val="single" w:color="8064A2" w:sz="8" w:space="0"/>
            </w:tcBorders>
            <w:shd w:val="clear" w:color="auto" w:fill="FFFFFF"/>
            <w:noWrap w:val="0"/>
            <w:vAlign w:val="center"/>
          </w:tcPr>
          <w:p w14:paraId="683F9EC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9A0FFAF">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临床专病智能辅助决策</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C524B7">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机器学习、自然语言处理、大数据挖掘、多模态人工智能大模型等技术，对收集的临床专科诊疗病历、临床诊疗指南、路径规则等数据进行清洗和处理，提取有价值的信息构建临床专病知识库和人工智能语料库。在高血压、糖尿病、肝癌、结直肠癌、胃癌、食管癌、肺癌、房颤、脑卒中、抑郁症等疾病的临床诊疗中，整合多组学基因测序、医学影像、数字病理等多模态数据，综合分析患者的诊断、症状、医嘱、检验检查、手术等信息，实现对专病患者的精准化、个性化风险评估。智能推荐匹配临床诊疗方案，为医生提供智能问诊、治疗效果预测、临床诊疗建议等辅助决策支持服务，提供相似病历诊断治疗信息的搜索与关键信息提取，辅助医生进行规范化诊疗，提高临床诊治效率和医疗质量。</w:t>
            </w:r>
          </w:p>
        </w:tc>
      </w:tr>
      <w:tr w14:paraId="16F71FE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77FB5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95</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6E09244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DD4575">
            <w:pPr>
              <w:widowControl/>
              <w:spacing w:line="240" w:lineRule="auto"/>
              <w:ind w:left="0" w:firstLine="0" w:firstLineChars="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智能就医咨询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ADECBB">
            <w:pPr>
              <w:widowControl/>
              <w:spacing w:line="240" w:lineRule="auto"/>
              <w:ind w:left="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利用图文及语音识别、自然语言处理等技术，基于医学知识库和就医服务知识库，以人机交互方式服务于就诊全流程，准确快速理解患者问题，帮助患者获取就医信息，了解就医流程和注意事项，替代传统导医和人工客服模式，也可关联医院其他在线服务，主动提供索引或推送服务。结合虚拟数字人技术为患者呈现可视化高仿真交互体验，提供更为真实、有温度的数字化服务，构建高效医患沟通渠道，疏解线下问询压力，缓解患者就医焦虑，提升就医体验。</w:t>
            </w:r>
          </w:p>
        </w:tc>
      </w:tr>
      <w:tr w14:paraId="6AF52DF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10ACF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6</w:t>
            </w:r>
          </w:p>
        </w:tc>
        <w:tc>
          <w:tcPr>
            <w:tcW w:w="825" w:type="dxa"/>
            <w:tcBorders>
              <w:left w:val="single" w:color="8064A2" w:sz="8" w:space="0"/>
              <w:bottom w:val="single" w:color="8064A2" w:sz="8" w:space="0"/>
              <w:right w:val="single" w:color="8064A2" w:sz="8" w:space="0"/>
            </w:tcBorders>
            <w:shd w:val="clear" w:color="auto" w:fill="FFFFFF"/>
            <w:noWrap w:val="0"/>
            <w:vAlign w:val="center"/>
          </w:tcPr>
          <w:p w14:paraId="6D4348B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5865BE">
            <w:pPr>
              <w:widowControl/>
              <w:spacing w:line="240" w:lineRule="auto"/>
              <w:ind w:left="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智能医院经济管理决策支持</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046B3C">
            <w:pPr>
              <w:widowControl/>
              <w:spacing w:line="240" w:lineRule="auto"/>
              <w:ind w:left="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机器学习、大数据及智能建模技术，打破信息孤岛，实现数据跨系统互联互通，推进运营数据标准化，建立经济效益分析、成本控制、绩效评估、风险管理和运营分析体系，通过预测分析和实时监控，提前识别潜在财务风险和运营问题，实现管理流程的自动化和智能化，为医院管理层提供及时预警和应对策略，形成医院经济管理数据资产，实现医院资源的最优配置，全面提升医院管理效能。</w:t>
            </w:r>
          </w:p>
        </w:tc>
      </w:tr>
      <w:tr w14:paraId="304E89B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D598E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A28CD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评级咨询服务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EE2D74D">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电子病历评级咨询服务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8646CE">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结合医院信息化</w:t>
            </w:r>
            <w:r>
              <w:rPr>
                <w:rFonts w:hint="eastAsia" w:ascii="仿宋" w:hAnsi="仿宋" w:eastAsia="仿宋" w:cs="仿宋"/>
                <w:sz w:val="24"/>
                <w:szCs w:val="24"/>
                <w:lang w:val="en-US" w:eastAsia="zh-CN"/>
              </w:rPr>
              <w:t>建设实际情况针对性</w:t>
            </w:r>
            <w:r>
              <w:rPr>
                <w:rFonts w:hint="eastAsia" w:ascii="仿宋" w:hAnsi="仿宋" w:eastAsia="仿宋" w:cs="仿宋"/>
                <w:sz w:val="24"/>
                <w:szCs w:val="24"/>
              </w:rPr>
              <w:t>制定《电子病历</w:t>
            </w:r>
            <w:r>
              <w:rPr>
                <w:rFonts w:hint="eastAsia" w:ascii="仿宋" w:hAnsi="仿宋" w:eastAsia="仿宋" w:cs="仿宋"/>
                <w:sz w:val="24"/>
                <w:szCs w:val="24"/>
                <w:lang w:val="en-US" w:eastAsia="zh-CN"/>
              </w:rPr>
              <w:t>5</w:t>
            </w:r>
            <w:r>
              <w:rPr>
                <w:rFonts w:hint="eastAsia" w:ascii="仿宋" w:hAnsi="仿宋" w:eastAsia="仿宋" w:cs="仿宋"/>
                <w:sz w:val="24"/>
                <w:szCs w:val="24"/>
              </w:rPr>
              <w:t>级评审改进措施方案》</w:t>
            </w:r>
            <w:r>
              <w:rPr>
                <w:rFonts w:hint="eastAsia" w:ascii="仿宋" w:hAnsi="仿宋" w:eastAsia="仿宋" w:cs="仿宋"/>
                <w:sz w:val="24"/>
                <w:szCs w:val="24"/>
                <w:lang w:eastAsia="zh-CN"/>
              </w:rPr>
              <w:t>、</w:t>
            </w:r>
            <w:r>
              <w:rPr>
                <w:rFonts w:hint="eastAsia" w:ascii="仿宋" w:hAnsi="仿宋" w:eastAsia="仿宋" w:cs="仿宋"/>
                <w:sz w:val="24"/>
                <w:szCs w:val="24"/>
              </w:rPr>
              <w:t>《电子病历</w:t>
            </w:r>
            <w:r>
              <w:rPr>
                <w:rFonts w:hint="eastAsia" w:ascii="仿宋" w:hAnsi="仿宋" w:eastAsia="仿宋" w:cs="仿宋"/>
                <w:sz w:val="24"/>
                <w:szCs w:val="24"/>
                <w:lang w:val="en-US" w:eastAsia="zh-CN"/>
              </w:rPr>
              <w:t>6</w:t>
            </w:r>
            <w:r>
              <w:rPr>
                <w:rFonts w:hint="eastAsia" w:ascii="仿宋" w:hAnsi="仿宋" w:eastAsia="仿宋" w:cs="仿宋"/>
                <w:sz w:val="24"/>
                <w:szCs w:val="24"/>
              </w:rPr>
              <w:t>级评审改进措施方案》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对第三方</w:t>
            </w:r>
            <w:r>
              <w:rPr>
                <w:rFonts w:hint="eastAsia" w:ascii="仿宋" w:hAnsi="仿宋" w:eastAsia="仿宋" w:cs="仿宋"/>
                <w:sz w:val="24"/>
                <w:szCs w:val="24"/>
              </w:rPr>
              <w:t>厂商做系统功能缺陷梳理，给出系统改造</w:t>
            </w:r>
            <w:r>
              <w:rPr>
                <w:rFonts w:hint="eastAsia" w:ascii="仿宋" w:hAnsi="仿宋" w:eastAsia="仿宋" w:cs="仿宋"/>
                <w:sz w:val="24"/>
                <w:szCs w:val="24"/>
                <w:lang w:val="en-US" w:eastAsia="zh-CN"/>
              </w:rPr>
              <w:t>要求，内容包含</w:t>
            </w:r>
            <w:r>
              <w:rPr>
                <w:rFonts w:hint="eastAsia" w:ascii="仿宋" w:hAnsi="仿宋" w:eastAsia="仿宋" w:cs="仿宋"/>
                <w:sz w:val="24"/>
                <w:szCs w:val="24"/>
              </w:rPr>
              <w:t>规划设计</w:t>
            </w:r>
            <w:r>
              <w:rPr>
                <w:rFonts w:hint="eastAsia" w:ascii="仿宋" w:hAnsi="仿宋" w:eastAsia="仿宋" w:cs="仿宋"/>
                <w:sz w:val="24"/>
                <w:szCs w:val="24"/>
                <w:lang w:eastAsia="zh-CN"/>
              </w:rPr>
              <w:t>、</w:t>
            </w:r>
            <w:r>
              <w:rPr>
                <w:rFonts w:hint="eastAsia" w:ascii="仿宋" w:hAnsi="仿宋" w:eastAsia="仿宋" w:cs="仿宋"/>
                <w:sz w:val="24"/>
                <w:szCs w:val="24"/>
              </w:rPr>
              <w:t>申报和初审指导</w:t>
            </w:r>
            <w:r>
              <w:rPr>
                <w:rFonts w:hint="eastAsia" w:ascii="仿宋" w:hAnsi="仿宋" w:eastAsia="仿宋" w:cs="仿宋"/>
                <w:sz w:val="24"/>
                <w:szCs w:val="24"/>
                <w:lang w:eastAsia="zh-CN"/>
              </w:rPr>
              <w:t>、</w:t>
            </w:r>
            <w:r>
              <w:rPr>
                <w:rFonts w:hint="eastAsia" w:ascii="仿宋" w:hAnsi="仿宋" w:eastAsia="仿宋" w:cs="仿宋"/>
                <w:sz w:val="24"/>
                <w:szCs w:val="24"/>
              </w:rPr>
              <w:t>复审指导</w:t>
            </w:r>
            <w:r>
              <w:rPr>
                <w:rFonts w:hint="eastAsia" w:ascii="仿宋" w:hAnsi="仿宋" w:eastAsia="仿宋" w:cs="仿宋"/>
                <w:sz w:val="24"/>
                <w:szCs w:val="24"/>
                <w:lang w:eastAsia="zh-CN"/>
              </w:rPr>
              <w:t>、</w:t>
            </w:r>
            <w:r>
              <w:rPr>
                <w:rFonts w:hint="eastAsia" w:ascii="仿宋" w:hAnsi="仿宋" w:eastAsia="仿宋" w:cs="仿宋"/>
                <w:sz w:val="24"/>
                <w:szCs w:val="24"/>
              </w:rPr>
              <w:t>评级项目控制</w:t>
            </w:r>
            <w:r>
              <w:rPr>
                <w:rFonts w:hint="eastAsia" w:ascii="仿宋" w:hAnsi="仿宋" w:eastAsia="仿宋" w:cs="仿宋"/>
                <w:sz w:val="24"/>
                <w:szCs w:val="24"/>
                <w:lang w:eastAsia="zh-CN"/>
              </w:rPr>
              <w:t>、</w:t>
            </w:r>
            <w:r>
              <w:rPr>
                <w:rFonts w:hint="eastAsia" w:ascii="仿宋" w:hAnsi="仿宋" w:eastAsia="仿宋" w:cs="仿宋"/>
                <w:sz w:val="24"/>
                <w:szCs w:val="24"/>
              </w:rPr>
              <w:t>数据质量服务</w:t>
            </w:r>
            <w:r>
              <w:rPr>
                <w:rFonts w:hint="eastAsia" w:ascii="仿宋" w:hAnsi="仿宋" w:eastAsia="仿宋" w:cs="仿宋"/>
                <w:sz w:val="24"/>
                <w:szCs w:val="24"/>
                <w:lang w:val="en-US" w:eastAsia="zh-CN"/>
              </w:rPr>
              <w:t>等。</w:t>
            </w:r>
          </w:p>
        </w:tc>
      </w:tr>
      <w:tr w14:paraId="1ECB22D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B02A1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925FB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A8595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互联互通评级咨询服务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ABE5581">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医院信息化建设实际情况，针对性制定出基于《医院信息互联互通标准化成熟度测评方案》五级乙等评测目标达成的阶段性规划设计方案，对第三方厂商做系统功能缺陷梳理，给出系统改造要求，内容包含评级调研评估、评审过程咨询、评级培训、差异分析、评审过程指导、证明材料辅助、定量测评指导、定性测评指导等。</w:t>
            </w:r>
          </w:p>
        </w:tc>
      </w:tr>
      <w:tr w14:paraId="0688036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5E8318">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E963B91">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37FD7B">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智慧服务评级咨询服务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B08ED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医院信息化建设实际情况，针对性制定出智慧服务评测目标达成的阶段性规划设计方案，对第三方厂商做系统功能缺陷梳理，给出系统改造要求，内容包含评级调研评估、评审过程咨询、评审培训、差异分析、评审过程指导、证明材料辅助等。</w:t>
            </w:r>
          </w:p>
        </w:tc>
      </w:tr>
    </w:tbl>
    <w:p w14:paraId="4D4854E2">
      <w:pPr>
        <w:pStyle w:val="4"/>
        <w:bidi w:val="0"/>
        <w:rPr>
          <w:rFonts w:hint="eastAsia" w:ascii="仿宋" w:hAnsi="仿宋" w:eastAsia="仿宋" w:cs="仿宋"/>
          <w:b/>
          <w:bCs/>
          <w:sz w:val="28"/>
          <w:szCs w:val="28"/>
          <w:lang w:val="en-US" w:eastAsia="zh-CN"/>
        </w:rPr>
      </w:pPr>
      <w:bookmarkStart w:id="88" w:name="_Toc10175"/>
      <w:bookmarkStart w:id="89" w:name="_Toc9395"/>
      <w:bookmarkStart w:id="90" w:name="_Toc2220"/>
      <w:bookmarkStart w:id="91" w:name="_Toc14428"/>
      <w:bookmarkStart w:id="92" w:name="_Toc1511"/>
      <w:bookmarkStart w:id="93" w:name="_Toc9742"/>
      <w:bookmarkStart w:id="94" w:name="_Toc21975"/>
      <w:r>
        <w:rPr>
          <w:rFonts w:hint="eastAsia" w:ascii="仿宋" w:hAnsi="仿宋" w:eastAsia="仿宋" w:cs="仿宋"/>
          <w:b/>
          <w:bCs/>
          <w:sz w:val="28"/>
          <w:szCs w:val="28"/>
          <w:lang w:val="en-US" w:eastAsia="zh-CN"/>
        </w:rPr>
        <w:t>2.1.2利旧扩容系统</w:t>
      </w:r>
      <w:bookmarkEnd w:id="88"/>
      <w:bookmarkEnd w:id="89"/>
      <w:bookmarkEnd w:id="90"/>
      <w:bookmarkEnd w:id="91"/>
      <w:bookmarkEnd w:id="92"/>
      <w:bookmarkEnd w:id="93"/>
      <w:bookmarkEnd w:id="94"/>
    </w:p>
    <w:tbl>
      <w:tblPr>
        <w:tblStyle w:val="17"/>
        <w:tblW w:w="9256"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4270"/>
        <w:gridCol w:w="4161"/>
      </w:tblGrid>
      <w:tr w14:paraId="7297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25" w:type="dxa"/>
            <w:noWrap w:val="0"/>
            <w:vAlign w:val="center"/>
          </w:tcPr>
          <w:p w14:paraId="6B44BA7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4270" w:type="dxa"/>
            <w:noWrap w:val="0"/>
            <w:vAlign w:val="center"/>
          </w:tcPr>
          <w:p w14:paraId="049FA6F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系统名称</w:t>
            </w:r>
          </w:p>
        </w:tc>
        <w:tc>
          <w:tcPr>
            <w:tcW w:w="4161" w:type="dxa"/>
            <w:noWrap w:val="0"/>
            <w:vAlign w:val="center"/>
          </w:tcPr>
          <w:p w14:paraId="170BEA32">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5BCE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5A4D6AE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270" w:type="dxa"/>
            <w:noWrap w:val="0"/>
            <w:vAlign w:val="center"/>
          </w:tcPr>
          <w:p w14:paraId="58AC84FB">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PACS系统</w:t>
            </w:r>
          </w:p>
        </w:tc>
        <w:tc>
          <w:tcPr>
            <w:tcW w:w="4161" w:type="dxa"/>
            <w:noWrap w:val="0"/>
            <w:vAlign w:val="center"/>
          </w:tcPr>
          <w:p w14:paraId="75A33F3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E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F20912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270" w:type="dxa"/>
            <w:noWrap w:val="0"/>
            <w:vAlign w:val="center"/>
          </w:tcPr>
          <w:p w14:paraId="725E1D2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内镜系统</w:t>
            </w:r>
          </w:p>
        </w:tc>
        <w:tc>
          <w:tcPr>
            <w:tcW w:w="4161" w:type="dxa"/>
            <w:noWrap w:val="0"/>
            <w:vAlign w:val="center"/>
          </w:tcPr>
          <w:p w14:paraId="59542B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70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FFC365E">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4270" w:type="dxa"/>
            <w:noWrap w:val="0"/>
            <w:vAlign w:val="center"/>
          </w:tcPr>
          <w:p w14:paraId="62AA8C9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LIS系统</w:t>
            </w:r>
          </w:p>
        </w:tc>
        <w:tc>
          <w:tcPr>
            <w:tcW w:w="4161" w:type="dxa"/>
            <w:noWrap w:val="0"/>
            <w:vAlign w:val="center"/>
          </w:tcPr>
          <w:p w14:paraId="03B320C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E1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ED66E8D">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4270" w:type="dxa"/>
            <w:noWrap w:val="0"/>
            <w:vAlign w:val="center"/>
          </w:tcPr>
          <w:p w14:paraId="5FE37D7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输血系统</w:t>
            </w:r>
          </w:p>
        </w:tc>
        <w:tc>
          <w:tcPr>
            <w:tcW w:w="4161" w:type="dxa"/>
            <w:noWrap w:val="0"/>
            <w:vAlign w:val="center"/>
          </w:tcPr>
          <w:p w14:paraId="161F0A6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D4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2F7EBA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4270" w:type="dxa"/>
            <w:noWrap w:val="0"/>
            <w:vAlign w:val="center"/>
          </w:tcPr>
          <w:p w14:paraId="37196E1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血透系统</w:t>
            </w:r>
          </w:p>
        </w:tc>
        <w:tc>
          <w:tcPr>
            <w:tcW w:w="4161" w:type="dxa"/>
            <w:noWrap w:val="0"/>
            <w:vAlign w:val="center"/>
          </w:tcPr>
          <w:p w14:paraId="4FABC6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916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4C9D69F">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4270" w:type="dxa"/>
            <w:noWrap w:val="0"/>
            <w:vAlign w:val="center"/>
          </w:tcPr>
          <w:p w14:paraId="6779AE7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电生理系统</w:t>
            </w:r>
          </w:p>
        </w:tc>
        <w:tc>
          <w:tcPr>
            <w:tcW w:w="4161" w:type="dxa"/>
            <w:noWrap w:val="0"/>
            <w:vAlign w:val="center"/>
          </w:tcPr>
          <w:p w14:paraId="10285A1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74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52E264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4270" w:type="dxa"/>
            <w:noWrap w:val="0"/>
            <w:vAlign w:val="center"/>
          </w:tcPr>
          <w:p w14:paraId="27EFAF2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动态心电系统</w:t>
            </w:r>
          </w:p>
        </w:tc>
        <w:tc>
          <w:tcPr>
            <w:tcW w:w="4161" w:type="dxa"/>
            <w:noWrap w:val="0"/>
            <w:vAlign w:val="center"/>
          </w:tcPr>
          <w:p w14:paraId="28520D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C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174474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4270" w:type="dxa"/>
            <w:noWrap w:val="0"/>
            <w:vAlign w:val="center"/>
          </w:tcPr>
          <w:p w14:paraId="33D0D5A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手麻系统</w:t>
            </w:r>
          </w:p>
        </w:tc>
        <w:tc>
          <w:tcPr>
            <w:tcW w:w="4161" w:type="dxa"/>
            <w:noWrap w:val="0"/>
            <w:vAlign w:val="center"/>
          </w:tcPr>
          <w:p w14:paraId="4210C5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657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457120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4270" w:type="dxa"/>
            <w:noWrap w:val="0"/>
            <w:vAlign w:val="center"/>
          </w:tcPr>
          <w:p w14:paraId="2A14568C">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重症系统</w:t>
            </w:r>
          </w:p>
        </w:tc>
        <w:tc>
          <w:tcPr>
            <w:tcW w:w="4161" w:type="dxa"/>
            <w:noWrap w:val="0"/>
            <w:vAlign w:val="center"/>
          </w:tcPr>
          <w:p w14:paraId="6A6D24F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C46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82ECDF0">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270" w:type="dxa"/>
            <w:noWrap w:val="0"/>
            <w:vAlign w:val="center"/>
          </w:tcPr>
          <w:p w14:paraId="4BB1222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病理系统</w:t>
            </w:r>
          </w:p>
        </w:tc>
        <w:tc>
          <w:tcPr>
            <w:tcW w:w="4161" w:type="dxa"/>
            <w:noWrap w:val="0"/>
            <w:vAlign w:val="center"/>
          </w:tcPr>
          <w:p w14:paraId="081A60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5EA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5" w:type="dxa"/>
            <w:noWrap w:val="0"/>
            <w:vAlign w:val="center"/>
          </w:tcPr>
          <w:p w14:paraId="0DEA34F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4270" w:type="dxa"/>
            <w:noWrap w:val="0"/>
            <w:vAlign w:val="center"/>
          </w:tcPr>
          <w:p w14:paraId="648448A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核医学SPECT检查</w:t>
            </w:r>
          </w:p>
        </w:tc>
        <w:tc>
          <w:tcPr>
            <w:tcW w:w="4161" w:type="dxa"/>
            <w:noWrap w:val="0"/>
            <w:vAlign w:val="center"/>
          </w:tcPr>
          <w:p w14:paraId="7DC4C36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F15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875CC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4270" w:type="dxa"/>
            <w:noWrap w:val="0"/>
            <w:vAlign w:val="center"/>
          </w:tcPr>
          <w:p w14:paraId="1559569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核医学PET/CT检查</w:t>
            </w:r>
          </w:p>
        </w:tc>
        <w:tc>
          <w:tcPr>
            <w:tcW w:w="4161" w:type="dxa"/>
            <w:noWrap w:val="0"/>
            <w:vAlign w:val="center"/>
          </w:tcPr>
          <w:p w14:paraId="356D25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DD0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32995A3">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4270" w:type="dxa"/>
            <w:noWrap w:val="0"/>
            <w:vAlign w:val="center"/>
          </w:tcPr>
          <w:p w14:paraId="5221117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康复治疗系统</w:t>
            </w:r>
          </w:p>
        </w:tc>
        <w:tc>
          <w:tcPr>
            <w:tcW w:w="4161" w:type="dxa"/>
            <w:noWrap w:val="0"/>
            <w:vAlign w:val="center"/>
          </w:tcPr>
          <w:p w14:paraId="29A109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41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5F8DC5D">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4270" w:type="dxa"/>
            <w:noWrap w:val="0"/>
            <w:vAlign w:val="center"/>
          </w:tcPr>
          <w:p w14:paraId="23302CB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放疗管理系统</w:t>
            </w:r>
          </w:p>
        </w:tc>
        <w:tc>
          <w:tcPr>
            <w:tcW w:w="4161" w:type="dxa"/>
            <w:noWrap w:val="0"/>
            <w:vAlign w:val="center"/>
          </w:tcPr>
          <w:p w14:paraId="3A7E5EA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3F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4C77A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270" w:type="dxa"/>
            <w:noWrap w:val="0"/>
            <w:vAlign w:val="center"/>
          </w:tcPr>
          <w:p w14:paraId="3886CAA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静配中心</w:t>
            </w:r>
          </w:p>
        </w:tc>
        <w:tc>
          <w:tcPr>
            <w:tcW w:w="4161" w:type="dxa"/>
            <w:noWrap w:val="0"/>
            <w:vAlign w:val="center"/>
          </w:tcPr>
          <w:p w14:paraId="0C13F96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E2E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20EC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4270" w:type="dxa"/>
            <w:noWrap w:val="0"/>
            <w:vAlign w:val="center"/>
          </w:tcPr>
          <w:p w14:paraId="20A467C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消毒供应管理</w:t>
            </w:r>
          </w:p>
        </w:tc>
        <w:tc>
          <w:tcPr>
            <w:tcW w:w="4161" w:type="dxa"/>
            <w:noWrap w:val="0"/>
            <w:vAlign w:val="center"/>
          </w:tcPr>
          <w:p w14:paraId="1CA84D2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B7B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977D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4270" w:type="dxa"/>
            <w:noWrap w:val="0"/>
            <w:vAlign w:val="center"/>
          </w:tcPr>
          <w:p w14:paraId="43BA36A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数字认证（CA）</w:t>
            </w:r>
          </w:p>
        </w:tc>
        <w:tc>
          <w:tcPr>
            <w:tcW w:w="4161" w:type="dxa"/>
            <w:noWrap w:val="0"/>
            <w:vAlign w:val="center"/>
          </w:tcPr>
          <w:p w14:paraId="2B306F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2A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12F0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270" w:type="dxa"/>
            <w:noWrap w:val="0"/>
            <w:vAlign w:val="center"/>
          </w:tcPr>
          <w:p w14:paraId="5BEA964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移动护理</w:t>
            </w:r>
          </w:p>
        </w:tc>
        <w:tc>
          <w:tcPr>
            <w:tcW w:w="4161" w:type="dxa"/>
            <w:noWrap w:val="0"/>
            <w:vAlign w:val="center"/>
          </w:tcPr>
          <w:p w14:paraId="0D1EAD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A34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678D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4270" w:type="dxa"/>
            <w:noWrap w:val="0"/>
            <w:vAlign w:val="center"/>
          </w:tcPr>
          <w:p w14:paraId="59CE4CC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耗材管理</w:t>
            </w:r>
          </w:p>
        </w:tc>
        <w:tc>
          <w:tcPr>
            <w:tcW w:w="4161" w:type="dxa"/>
            <w:noWrap w:val="0"/>
            <w:vAlign w:val="center"/>
          </w:tcPr>
          <w:p w14:paraId="07F4AD3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0E2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38EA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270" w:type="dxa"/>
            <w:noWrap w:val="0"/>
            <w:vAlign w:val="center"/>
          </w:tcPr>
          <w:p w14:paraId="3B2E9B5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药品调剂追溯</w:t>
            </w:r>
          </w:p>
        </w:tc>
        <w:tc>
          <w:tcPr>
            <w:tcW w:w="4161" w:type="dxa"/>
            <w:noWrap w:val="0"/>
            <w:vAlign w:val="center"/>
          </w:tcPr>
          <w:p w14:paraId="1DC67F8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DB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F0D9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4270" w:type="dxa"/>
            <w:noWrap w:val="0"/>
            <w:vAlign w:val="center"/>
          </w:tcPr>
          <w:p w14:paraId="4A96C15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自助机</w:t>
            </w:r>
          </w:p>
        </w:tc>
        <w:tc>
          <w:tcPr>
            <w:tcW w:w="4161" w:type="dxa"/>
            <w:noWrap w:val="0"/>
            <w:vAlign w:val="center"/>
          </w:tcPr>
          <w:p w14:paraId="46E9EC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977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8CD3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4270" w:type="dxa"/>
            <w:noWrap w:val="0"/>
            <w:vAlign w:val="center"/>
          </w:tcPr>
          <w:p w14:paraId="6893B8D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分诊叫号</w:t>
            </w:r>
          </w:p>
        </w:tc>
        <w:tc>
          <w:tcPr>
            <w:tcW w:w="4161" w:type="dxa"/>
            <w:noWrap w:val="0"/>
            <w:vAlign w:val="center"/>
          </w:tcPr>
          <w:p w14:paraId="11A63C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C29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CB1AF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4270" w:type="dxa"/>
            <w:noWrap w:val="0"/>
            <w:vAlign w:val="center"/>
          </w:tcPr>
          <w:p w14:paraId="6EA2BBA4">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心理测评软件</w:t>
            </w:r>
          </w:p>
        </w:tc>
        <w:tc>
          <w:tcPr>
            <w:tcW w:w="4161" w:type="dxa"/>
            <w:noWrap w:val="0"/>
            <w:vAlign w:val="center"/>
          </w:tcPr>
          <w:p w14:paraId="7A7AC78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系统接入及适应性改造</w:t>
            </w:r>
          </w:p>
        </w:tc>
      </w:tr>
      <w:tr w14:paraId="5F16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6715E0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cs="宋体"/>
                <w:i w:val="0"/>
                <w:iCs w:val="0"/>
                <w:color w:val="000000"/>
                <w:kern w:val="0"/>
                <w:sz w:val="24"/>
                <w:szCs w:val="24"/>
                <w:u w:val="none"/>
                <w:lang w:val="en-US" w:eastAsia="zh-CN" w:bidi="ar"/>
              </w:rPr>
              <w:t>24</w:t>
            </w:r>
          </w:p>
        </w:tc>
        <w:tc>
          <w:tcPr>
            <w:tcW w:w="4270" w:type="dxa"/>
            <w:noWrap w:val="0"/>
            <w:vAlign w:val="center"/>
          </w:tcPr>
          <w:p w14:paraId="2BB4842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合理用药</w:t>
            </w:r>
          </w:p>
        </w:tc>
        <w:tc>
          <w:tcPr>
            <w:tcW w:w="4161" w:type="dxa"/>
            <w:noWrap w:val="0"/>
            <w:vAlign w:val="center"/>
          </w:tcPr>
          <w:p w14:paraId="1FF08D5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DB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5A736B6B">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4270" w:type="dxa"/>
            <w:noWrap w:val="0"/>
            <w:vAlign w:val="center"/>
          </w:tcPr>
          <w:p w14:paraId="682D761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临床决策支持（CDSS）</w:t>
            </w:r>
          </w:p>
        </w:tc>
        <w:tc>
          <w:tcPr>
            <w:tcW w:w="4161" w:type="dxa"/>
            <w:noWrap w:val="0"/>
            <w:vAlign w:val="center"/>
          </w:tcPr>
          <w:p w14:paraId="24B417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07EA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2598999">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4270" w:type="dxa"/>
            <w:noWrap w:val="0"/>
            <w:vAlign w:val="center"/>
          </w:tcPr>
          <w:p w14:paraId="2A2EDBA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单病种管理</w:t>
            </w:r>
          </w:p>
        </w:tc>
        <w:tc>
          <w:tcPr>
            <w:tcW w:w="4161" w:type="dxa"/>
            <w:noWrap w:val="0"/>
            <w:vAlign w:val="center"/>
          </w:tcPr>
          <w:p w14:paraId="6D0BBF4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66B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C22546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p>
        </w:tc>
        <w:tc>
          <w:tcPr>
            <w:tcW w:w="4270" w:type="dxa"/>
            <w:noWrap w:val="0"/>
            <w:vAlign w:val="center"/>
          </w:tcPr>
          <w:p w14:paraId="0243627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院感系统</w:t>
            </w:r>
          </w:p>
        </w:tc>
        <w:tc>
          <w:tcPr>
            <w:tcW w:w="4161" w:type="dxa"/>
            <w:noWrap w:val="0"/>
            <w:vAlign w:val="center"/>
          </w:tcPr>
          <w:p w14:paraId="35F49AB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2EF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707BF2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p>
        </w:tc>
        <w:tc>
          <w:tcPr>
            <w:tcW w:w="4270" w:type="dxa"/>
            <w:noWrap w:val="0"/>
            <w:vAlign w:val="center"/>
          </w:tcPr>
          <w:p w14:paraId="308B696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传染病管理</w:t>
            </w:r>
          </w:p>
        </w:tc>
        <w:tc>
          <w:tcPr>
            <w:tcW w:w="4161" w:type="dxa"/>
            <w:noWrap w:val="0"/>
            <w:vAlign w:val="center"/>
          </w:tcPr>
          <w:p w14:paraId="6D9163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CB0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25" w:type="dxa"/>
            <w:noWrap w:val="0"/>
            <w:vAlign w:val="center"/>
          </w:tcPr>
          <w:p w14:paraId="52F64B5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9</w:t>
            </w:r>
          </w:p>
        </w:tc>
        <w:tc>
          <w:tcPr>
            <w:tcW w:w="4270" w:type="dxa"/>
            <w:noWrap w:val="0"/>
            <w:vAlign w:val="center"/>
          </w:tcPr>
          <w:p w14:paraId="309875F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智能医保审核系统</w:t>
            </w:r>
          </w:p>
        </w:tc>
        <w:tc>
          <w:tcPr>
            <w:tcW w:w="4161" w:type="dxa"/>
            <w:noWrap w:val="0"/>
            <w:vAlign w:val="center"/>
          </w:tcPr>
          <w:p w14:paraId="75F283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89C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A2CDFA1">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4270" w:type="dxa"/>
            <w:noWrap w:val="0"/>
            <w:vAlign w:val="center"/>
          </w:tcPr>
          <w:p w14:paraId="2057ABB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医保DRG/DIP分析</w:t>
            </w:r>
          </w:p>
        </w:tc>
        <w:tc>
          <w:tcPr>
            <w:tcW w:w="4161" w:type="dxa"/>
            <w:noWrap w:val="0"/>
            <w:vAlign w:val="center"/>
          </w:tcPr>
          <w:p w14:paraId="6D8B68D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BC4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FBC498C">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4270" w:type="dxa"/>
            <w:noWrap w:val="0"/>
            <w:vAlign w:val="center"/>
          </w:tcPr>
          <w:p w14:paraId="161575C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临床试验管理（GCP）</w:t>
            </w:r>
          </w:p>
        </w:tc>
        <w:tc>
          <w:tcPr>
            <w:tcW w:w="4161" w:type="dxa"/>
            <w:noWrap w:val="0"/>
            <w:vAlign w:val="center"/>
          </w:tcPr>
          <w:p w14:paraId="201A04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C24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B671F3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4270" w:type="dxa"/>
            <w:noWrap w:val="0"/>
            <w:vAlign w:val="center"/>
          </w:tcPr>
          <w:p w14:paraId="2A62FA9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随访管理系统</w:t>
            </w:r>
          </w:p>
        </w:tc>
        <w:tc>
          <w:tcPr>
            <w:tcW w:w="4161" w:type="dxa"/>
            <w:noWrap w:val="0"/>
            <w:vAlign w:val="center"/>
          </w:tcPr>
          <w:p w14:paraId="78052A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EF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3683837">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4270" w:type="dxa"/>
            <w:noWrap w:val="0"/>
            <w:vAlign w:val="center"/>
          </w:tcPr>
          <w:p w14:paraId="0B5A085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设备管理</w:t>
            </w:r>
          </w:p>
        </w:tc>
        <w:tc>
          <w:tcPr>
            <w:tcW w:w="4161" w:type="dxa"/>
            <w:noWrap w:val="0"/>
            <w:vAlign w:val="center"/>
          </w:tcPr>
          <w:p w14:paraId="2E0688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13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662115E">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4270" w:type="dxa"/>
            <w:noWrap w:val="0"/>
            <w:vAlign w:val="center"/>
          </w:tcPr>
          <w:p w14:paraId="1EF5E5A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资产一体化管理</w:t>
            </w:r>
          </w:p>
        </w:tc>
        <w:tc>
          <w:tcPr>
            <w:tcW w:w="4161" w:type="dxa"/>
            <w:noWrap w:val="0"/>
            <w:vAlign w:val="center"/>
          </w:tcPr>
          <w:p w14:paraId="1A0E78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8EA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800B03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4270" w:type="dxa"/>
            <w:noWrap w:val="0"/>
            <w:vAlign w:val="center"/>
          </w:tcPr>
          <w:p w14:paraId="14C2A9E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科研管理平台</w:t>
            </w:r>
          </w:p>
        </w:tc>
        <w:tc>
          <w:tcPr>
            <w:tcW w:w="4161" w:type="dxa"/>
            <w:noWrap w:val="0"/>
            <w:vAlign w:val="center"/>
          </w:tcPr>
          <w:p w14:paraId="48C98B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9F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1D9BE8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4270" w:type="dxa"/>
            <w:noWrap w:val="0"/>
            <w:vAlign w:val="center"/>
          </w:tcPr>
          <w:p w14:paraId="6A13D7B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生物样本库管理</w:t>
            </w:r>
          </w:p>
        </w:tc>
        <w:tc>
          <w:tcPr>
            <w:tcW w:w="4161" w:type="dxa"/>
            <w:noWrap w:val="0"/>
            <w:vAlign w:val="center"/>
          </w:tcPr>
          <w:p w14:paraId="1C3075E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0B7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2F85FD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4270" w:type="dxa"/>
            <w:noWrap w:val="0"/>
            <w:vAlign w:val="center"/>
          </w:tcPr>
          <w:p w14:paraId="587065C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营养系统</w:t>
            </w:r>
          </w:p>
        </w:tc>
        <w:tc>
          <w:tcPr>
            <w:tcW w:w="4161" w:type="dxa"/>
            <w:noWrap w:val="0"/>
            <w:vAlign w:val="center"/>
          </w:tcPr>
          <w:p w14:paraId="0A6F1A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EB9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BB708E2">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4270" w:type="dxa"/>
            <w:noWrap w:val="0"/>
            <w:vAlign w:val="center"/>
          </w:tcPr>
          <w:p w14:paraId="1222DF9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血糖管理系统</w:t>
            </w:r>
          </w:p>
        </w:tc>
        <w:tc>
          <w:tcPr>
            <w:tcW w:w="4161" w:type="dxa"/>
            <w:noWrap w:val="0"/>
            <w:vAlign w:val="center"/>
          </w:tcPr>
          <w:p w14:paraId="6A9EA8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986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49EB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4270" w:type="dxa"/>
            <w:noWrap w:val="0"/>
            <w:vAlign w:val="center"/>
          </w:tcPr>
          <w:p w14:paraId="1D0ABB6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心理测评软件</w:t>
            </w:r>
          </w:p>
        </w:tc>
        <w:tc>
          <w:tcPr>
            <w:tcW w:w="4161" w:type="dxa"/>
            <w:noWrap w:val="0"/>
            <w:vAlign w:val="center"/>
          </w:tcPr>
          <w:p w14:paraId="2F0025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6C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BBCADCC">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cs="宋体"/>
                <w:i w:val="0"/>
                <w:iCs w:val="0"/>
                <w:color w:val="000000"/>
                <w:kern w:val="0"/>
                <w:sz w:val="24"/>
                <w:szCs w:val="24"/>
                <w:u w:val="none"/>
                <w:lang w:val="en-US" w:eastAsia="zh-CN" w:bidi="ar"/>
              </w:rPr>
              <w:t>40</w:t>
            </w:r>
          </w:p>
        </w:tc>
        <w:tc>
          <w:tcPr>
            <w:tcW w:w="4270" w:type="dxa"/>
            <w:noWrap w:val="0"/>
            <w:vAlign w:val="center"/>
          </w:tcPr>
          <w:p w14:paraId="365A06A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专病数据平台</w:t>
            </w:r>
          </w:p>
        </w:tc>
        <w:tc>
          <w:tcPr>
            <w:tcW w:w="4161" w:type="dxa"/>
            <w:noWrap w:val="0"/>
            <w:vAlign w:val="center"/>
          </w:tcPr>
          <w:p w14:paraId="3B37883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9E7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2DABA5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4270" w:type="dxa"/>
            <w:noWrap w:val="0"/>
            <w:vAlign w:val="center"/>
          </w:tcPr>
          <w:p w14:paraId="4DB9D81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药库物流SPD系统</w:t>
            </w:r>
          </w:p>
        </w:tc>
        <w:tc>
          <w:tcPr>
            <w:tcW w:w="4161" w:type="dxa"/>
            <w:noWrap w:val="0"/>
            <w:vAlign w:val="center"/>
          </w:tcPr>
          <w:p w14:paraId="4F0002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50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D1C8D6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4270" w:type="dxa"/>
            <w:noWrap w:val="0"/>
            <w:vAlign w:val="center"/>
          </w:tcPr>
          <w:p w14:paraId="02DD532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医联体建设智慧APP</w:t>
            </w:r>
          </w:p>
        </w:tc>
        <w:tc>
          <w:tcPr>
            <w:tcW w:w="4161" w:type="dxa"/>
            <w:noWrap w:val="0"/>
            <w:vAlign w:val="center"/>
          </w:tcPr>
          <w:p w14:paraId="254FA45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D70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803B5A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4270" w:type="dxa"/>
            <w:noWrap w:val="0"/>
            <w:vAlign w:val="center"/>
          </w:tcPr>
          <w:p w14:paraId="7C6EC27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电子票据</w:t>
            </w:r>
          </w:p>
        </w:tc>
        <w:tc>
          <w:tcPr>
            <w:tcW w:w="4161" w:type="dxa"/>
            <w:noWrap w:val="0"/>
            <w:vAlign w:val="center"/>
          </w:tcPr>
          <w:p w14:paraId="541FF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45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602583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4270" w:type="dxa"/>
            <w:noWrap w:val="0"/>
            <w:vAlign w:val="center"/>
          </w:tcPr>
          <w:p w14:paraId="4BBC2B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财务管理系统</w:t>
            </w:r>
          </w:p>
        </w:tc>
        <w:tc>
          <w:tcPr>
            <w:tcW w:w="4161" w:type="dxa"/>
            <w:noWrap w:val="0"/>
            <w:vAlign w:val="center"/>
          </w:tcPr>
          <w:p w14:paraId="1CC7ACB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C4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2C4EC7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4270" w:type="dxa"/>
            <w:noWrap w:val="0"/>
            <w:vAlign w:val="center"/>
          </w:tcPr>
          <w:p w14:paraId="1DDAD18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财务预算及合同管理</w:t>
            </w:r>
          </w:p>
        </w:tc>
        <w:tc>
          <w:tcPr>
            <w:tcW w:w="4161" w:type="dxa"/>
            <w:noWrap w:val="0"/>
            <w:vAlign w:val="center"/>
          </w:tcPr>
          <w:p w14:paraId="49BFB9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AD9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50270FA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4270" w:type="dxa"/>
            <w:noWrap w:val="0"/>
            <w:vAlign w:val="center"/>
          </w:tcPr>
          <w:p w14:paraId="7F2F93F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成本一体化软件</w:t>
            </w:r>
          </w:p>
        </w:tc>
        <w:tc>
          <w:tcPr>
            <w:tcW w:w="4161" w:type="dxa"/>
            <w:noWrap w:val="0"/>
            <w:vAlign w:val="center"/>
          </w:tcPr>
          <w:p w14:paraId="3A4B5E4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B4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71E1C3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4270" w:type="dxa"/>
            <w:noWrap w:val="0"/>
            <w:vAlign w:val="center"/>
          </w:tcPr>
          <w:p w14:paraId="3E05138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绩效管理软件</w:t>
            </w:r>
          </w:p>
        </w:tc>
        <w:tc>
          <w:tcPr>
            <w:tcW w:w="4161" w:type="dxa"/>
            <w:noWrap w:val="0"/>
            <w:vAlign w:val="center"/>
          </w:tcPr>
          <w:p w14:paraId="1DE985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62F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9C2BBE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4270" w:type="dxa"/>
            <w:noWrap w:val="0"/>
            <w:vAlign w:val="center"/>
          </w:tcPr>
          <w:p w14:paraId="3A8FE4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OA系统</w:t>
            </w:r>
          </w:p>
        </w:tc>
        <w:tc>
          <w:tcPr>
            <w:tcW w:w="4161" w:type="dxa"/>
            <w:noWrap w:val="0"/>
            <w:vAlign w:val="center"/>
          </w:tcPr>
          <w:p w14:paraId="56251E2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1F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A865A7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4270" w:type="dxa"/>
            <w:noWrap w:val="0"/>
            <w:vAlign w:val="center"/>
          </w:tcPr>
          <w:p w14:paraId="19616DDB">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人力资源系统</w:t>
            </w:r>
          </w:p>
        </w:tc>
        <w:tc>
          <w:tcPr>
            <w:tcW w:w="4161" w:type="dxa"/>
            <w:noWrap w:val="0"/>
            <w:vAlign w:val="center"/>
          </w:tcPr>
          <w:p w14:paraId="4663C43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8D7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95C76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4270" w:type="dxa"/>
            <w:noWrap w:val="0"/>
            <w:vAlign w:val="center"/>
          </w:tcPr>
          <w:p w14:paraId="358BE3C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住院医师培训</w:t>
            </w:r>
          </w:p>
        </w:tc>
        <w:tc>
          <w:tcPr>
            <w:tcW w:w="4161" w:type="dxa"/>
            <w:noWrap w:val="0"/>
            <w:vAlign w:val="center"/>
          </w:tcPr>
          <w:p w14:paraId="64EC66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bl>
    <w:p w14:paraId="6780844C">
      <w:pPr>
        <w:rPr>
          <w:rFonts w:hint="default" w:ascii="仿宋" w:hAnsi="仿宋" w:eastAsia="仿宋" w:cs="仿宋"/>
          <w:sz w:val="24"/>
          <w:szCs w:val="24"/>
          <w:lang w:val="en-US" w:eastAsia="zh-CN"/>
        </w:rPr>
      </w:pPr>
    </w:p>
    <w:p w14:paraId="15A6005A">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2.1.3政策性及其他接口</w:t>
      </w:r>
    </w:p>
    <w:p w14:paraId="6907291E">
      <w:pPr>
        <w:rPr>
          <w:rFonts w:hint="default"/>
          <w:lang w:val="en-US" w:eastAsia="zh-CN"/>
        </w:rPr>
      </w:pPr>
    </w:p>
    <w:tbl>
      <w:tblPr>
        <w:tblStyle w:val="17"/>
        <w:tblW w:w="8813"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5768"/>
        <w:gridCol w:w="2239"/>
      </w:tblGrid>
      <w:tr w14:paraId="56F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6" w:type="dxa"/>
            <w:noWrap w:val="0"/>
            <w:vAlign w:val="center"/>
          </w:tcPr>
          <w:p w14:paraId="35C5F3DD">
            <w:pPr>
              <w:widowControl/>
              <w:spacing w:line="240" w:lineRule="auto"/>
              <w:ind w:left="0" w:firstLine="0" w:firstLineChars="0"/>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序号</w:t>
            </w:r>
          </w:p>
        </w:tc>
        <w:tc>
          <w:tcPr>
            <w:tcW w:w="5768" w:type="dxa"/>
            <w:noWrap w:val="0"/>
            <w:vAlign w:val="center"/>
          </w:tcPr>
          <w:p w14:paraId="073A30B7">
            <w:pPr>
              <w:widowControl/>
              <w:spacing w:line="240" w:lineRule="auto"/>
              <w:ind w:left="0" w:firstLine="0" w:firstLineChars="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政策性接口名称</w:t>
            </w:r>
          </w:p>
        </w:tc>
        <w:tc>
          <w:tcPr>
            <w:tcW w:w="2239" w:type="dxa"/>
            <w:noWrap w:val="0"/>
            <w:vAlign w:val="center"/>
          </w:tcPr>
          <w:p w14:paraId="4BE79F3A">
            <w:pPr>
              <w:widowControl/>
              <w:spacing w:line="240" w:lineRule="auto"/>
              <w:ind w:left="0" w:firstLine="0" w:firstLineChars="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对接方</w:t>
            </w:r>
          </w:p>
        </w:tc>
      </w:tr>
      <w:tr w14:paraId="7CFE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06" w:type="dxa"/>
            <w:noWrap w:val="0"/>
            <w:vAlign w:val="center"/>
          </w:tcPr>
          <w:p w14:paraId="7756064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768" w:type="dxa"/>
            <w:noWrap w:val="0"/>
            <w:vAlign w:val="center"/>
          </w:tcPr>
          <w:p w14:paraId="6997364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医疗保险接口(含医保移动支付）</w:t>
            </w:r>
          </w:p>
        </w:tc>
        <w:tc>
          <w:tcPr>
            <w:tcW w:w="2239" w:type="dxa"/>
            <w:noWrap w:val="0"/>
            <w:vAlign w:val="center"/>
          </w:tcPr>
          <w:p w14:paraId="45745EA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成都市医保局</w:t>
            </w:r>
          </w:p>
        </w:tc>
      </w:tr>
      <w:tr w14:paraId="44EC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E6BE46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768" w:type="dxa"/>
            <w:noWrap w:val="0"/>
            <w:vAlign w:val="center"/>
          </w:tcPr>
          <w:p w14:paraId="53B90E7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商业保险接口</w:t>
            </w:r>
          </w:p>
        </w:tc>
        <w:tc>
          <w:tcPr>
            <w:tcW w:w="2239" w:type="dxa"/>
            <w:noWrap w:val="0"/>
            <w:vAlign w:val="center"/>
          </w:tcPr>
          <w:p w14:paraId="57343E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泰康人寿保险</w:t>
            </w:r>
          </w:p>
        </w:tc>
      </w:tr>
      <w:tr w14:paraId="7E42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8732E8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768" w:type="dxa"/>
            <w:noWrap w:val="0"/>
            <w:vAlign w:val="center"/>
          </w:tcPr>
          <w:p w14:paraId="3580216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成都市全民健康平台接口</w:t>
            </w:r>
          </w:p>
        </w:tc>
        <w:tc>
          <w:tcPr>
            <w:tcW w:w="2239" w:type="dxa"/>
            <w:noWrap w:val="0"/>
            <w:vAlign w:val="center"/>
          </w:tcPr>
          <w:p w14:paraId="1C18459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E59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37D0E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768" w:type="dxa"/>
            <w:noWrap w:val="0"/>
            <w:vAlign w:val="center"/>
          </w:tcPr>
          <w:p w14:paraId="25653A8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成都市双向转诊平台接口</w:t>
            </w:r>
          </w:p>
        </w:tc>
        <w:tc>
          <w:tcPr>
            <w:tcW w:w="2239" w:type="dxa"/>
            <w:noWrap w:val="0"/>
            <w:vAlign w:val="center"/>
          </w:tcPr>
          <w:p w14:paraId="3529E03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7E25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7A1F6E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768" w:type="dxa"/>
            <w:noWrap w:val="0"/>
            <w:vAlign w:val="center"/>
          </w:tcPr>
          <w:p w14:paraId="07DA51C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成都市检查检验结果互认接口</w:t>
            </w:r>
          </w:p>
        </w:tc>
        <w:tc>
          <w:tcPr>
            <w:tcW w:w="2239" w:type="dxa"/>
            <w:noWrap w:val="0"/>
            <w:vAlign w:val="center"/>
          </w:tcPr>
          <w:p w14:paraId="0BDC8A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2FC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2A77A5F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768" w:type="dxa"/>
            <w:noWrap w:val="0"/>
            <w:vAlign w:val="center"/>
          </w:tcPr>
          <w:p w14:paraId="7392D2B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成都市互联网总院接口</w:t>
            </w:r>
          </w:p>
        </w:tc>
        <w:tc>
          <w:tcPr>
            <w:tcW w:w="2239" w:type="dxa"/>
            <w:noWrap w:val="0"/>
            <w:vAlign w:val="center"/>
          </w:tcPr>
          <w:p w14:paraId="249D1C4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AF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8C5C8C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768" w:type="dxa"/>
            <w:noWrap w:val="0"/>
            <w:vAlign w:val="center"/>
          </w:tcPr>
          <w:p w14:paraId="3D03D6D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天府市民云接口</w:t>
            </w:r>
          </w:p>
        </w:tc>
        <w:tc>
          <w:tcPr>
            <w:tcW w:w="2239" w:type="dxa"/>
            <w:noWrap w:val="0"/>
            <w:vAlign w:val="center"/>
          </w:tcPr>
          <w:p w14:paraId="36AD5E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42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6248E7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768" w:type="dxa"/>
            <w:noWrap w:val="0"/>
            <w:vAlign w:val="center"/>
          </w:tcPr>
          <w:p w14:paraId="592BB7D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成都市统一挂号统一支付平台接口</w:t>
            </w:r>
          </w:p>
        </w:tc>
        <w:tc>
          <w:tcPr>
            <w:tcW w:w="2239" w:type="dxa"/>
            <w:noWrap w:val="0"/>
            <w:vAlign w:val="center"/>
          </w:tcPr>
          <w:p w14:paraId="53A0D2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6C72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5D3750D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768" w:type="dxa"/>
            <w:noWrap w:val="0"/>
            <w:vAlign w:val="center"/>
          </w:tcPr>
          <w:p w14:paraId="3F8EA3B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三医监管接口</w:t>
            </w:r>
          </w:p>
        </w:tc>
        <w:tc>
          <w:tcPr>
            <w:tcW w:w="2239" w:type="dxa"/>
            <w:noWrap w:val="0"/>
            <w:vAlign w:val="center"/>
          </w:tcPr>
          <w:p w14:paraId="151703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00ED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38C10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768" w:type="dxa"/>
            <w:noWrap w:val="0"/>
            <w:vAlign w:val="center"/>
          </w:tcPr>
          <w:p w14:paraId="4DB1822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三流合一接口</w:t>
            </w:r>
          </w:p>
        </w:tc>
        <w:tc>
          <w:tcPr>
            <w:tcW w:w="2239" w:type="dxa"/>
            <w:noWrap w:val="0"/>
            <w:vAlign w:val="center"/>
          </w:tcPr>
          <w:p w14:paraId="03119B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68B3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D48BED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768" w:type="dxa"/>
            <w:noWrap w:val="0"/>
            <w:vAlign w:val="center"/>
          </w:tcPr>
          <w:p w14:paraId="732D035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国家传染病监测平台接口</w:t>
            </w:r>
          </w:p>
        </w:tc>
        <w:tc>
          <w:tcPr>
            <w:tcW w:w="2239" w:type="dxa"/>
            <w:noWrap w:val="0"/>
            <w:vAlign w:val="center"/>
          </w:tcPr>
          <w:p w14:paraId="6F767CE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国家疾控中心</w:t>
            </w:r>
          </w:p>
        </w:tc>
      </w:tr>
      <w:tr w14:paraId="5FFC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14EDEC8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768" w:type="dxa"/>
            <w:noWrap w:val="0"/>
            <w:vAlign w:val="center"/>
          </w:tcPr>
          <w:p w14:paraId="2BFCDFE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贫困人口上报接口</w:t>
            </w:r>
          </w:p>
        </w:tc>
        <w:tc>
          <w:tcPr>
            <w:tcW w:w="2239" w:type="dxa"/>
            <w:noWrap w:val="0"/>
            <w:vAlign w:val="center"/>
          </w:tcPr>
          <w:p w14:paraId="04396AD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3E5B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13D72CE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5768" w:type="dxa"/>
            <w:noWrap w:val="0"/>
            <w:vAlign w:val="center"/>
          </w:tcPr>
          <w:p w14:paraId="66E0951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发热门诊数据上报接口</w:t>
            </w:r>
          </w:p>
        </w:tc>
        <w:tc>
          <w:tcPr>
            <w:tcW w:w="2239" w:type="dxa"/>
            <w:noWrap w:val="0"/>
            <w:vAlign w:val="center"/>
          </w:tcPr>
          <w:p w14:paraId="1BA3BF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B8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E29526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5768" w:type="dxa"/>
            <w:noWrap w:val="0"/>
            <w:vAlign w:val="center"/>
          </w:tcPr>
          <w:p w14:paraId="70AA182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药品不良反应监测接口</w:t>
            </w:r>
          </w:p>
        </w:tc>
        <w:tc>
          <w:tcPr>
            <w:tcW w:w="2239" w:type="dxa"/>
            <w:noWrap w:val="0"/>
            <w:vAlign w:val="center"/>
          </w:tcPr>
          <w:p w14:paraId="0B2B3B4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国家药监局</w:t>
            </w:r>
          </w:p>
        </w:tc>
      </w:tr>
      <w:tr w14:paraId="734D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22ACC9B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768" w:type="dxa"/>
            <w:noWrap w:val="0"/>
            <w:vAlign w:val="center"/>
          </w:tcPr>
          <w:p w14:paraId="364B265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抗肿瘤用药上报接口</w:t>
            </w:r>
          </w:p>
        </w:tc>
        <w:tc>
          <w:tcPr>
            <w:tcW w:w="2239" w:type="dxa"/>
            <w:noWrap w:val="0"/>
            <w:vAlign w:val="center"/>
          </w:tcPr>
          <w:p w14:paraId="308113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国家药监局</w:t>
            </w:r>
          </w:p>
        </w:tc>
      </w:tr>
      <w:tr w14:paraId="157D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B3E23C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768" w:type="dxa"/>
            <w:noWrap w:val="0"/>
            <w:vAlign w:val="center"/>
          </w:tcPr>
          <w:p w14:paraId="6CEDB70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电子居民健康卡接口</w:t>
            </w:r>
          </w:p>
        </w:tc>
        <w:tc>
          <w:tcPr>
            <w:tcW w:w="2239" w:type="dxa"/>
            <w:noWrap w:val="0"/>
            <w:vAlign w:val="center"/>
          </w:tcPr>
          <w:p w14:paraId="6BC27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43FF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5C518B5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5768" w:type="dxa"/>
            <w:noWrap w:val="0"/>
            <w:vAlign w:val="center"/>
          </w:tcPr>
          <w:p w14:paraId="630930D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人社一卡通接口</w:t>
            </w:r>
          </w:p>
        </w:tc>
        <w:tc>
          <w:tcPr>
            <w:tcW w:w="2239" w:type="dxa"/>
            <w:noWrap w:val="0"/>
            <w:vAlign w:val="center"/>
          </w:tcPr>
          <w:p w14:paraId="4408A8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7DAE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1F6742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768" w:type="dxa"/>
            <w:noWrap w:val="0"/>
            <w:vAlign w:val="center"/>
          </w:tcPr>
          <w:p w14:paraId="454822E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卫生统计上报接口</w:t>
            </w:r>
          </w:p>
        </w:tc>
        <w:tc>
          <w:tcPr>
            <w:tcW w:w="2239" w:type="dxa"/>
            <w:noWrap w:val="0"/>
            <w:vAlign w:val="center"/>
          </w:tcPr>
          <w:p w14:paraId="1A3C1B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四川省卫健委</w:t>
            </w:r>
          </w:p>
        </w:tc>
      </w:tr>
      <w:tr w14:paraId="06F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06" w:type="dxa"/>
            <w:noWrap w:val="0"/>
            <w:vAlign w:val="center"/>
          </w:tcPr>
          <w:p w14:paraId="515E6B4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768" w:type="dxa"/>
            <w:noWrap w:val="0"/>
            <w:vAlign w:val="center"/>
          </w:tcPr>
          <w:p w14:paraId="79B41FA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病案首页数据上报接口</w:t>
            </w:r>
          </w:p>
        </w:tc>
        <w:tc>
          <w:tcPr>
            <w:tcW w:w="2239" w:type="dxa"/>
            <w:noWrap w:val="0"/>
            <w:vAlign w:val="center"/>
          </w:tcPr>
          <w:p w14:paraId="07BF0CC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四川省卫健委</w:t>
            </w:r>
          </w:p>
        </w:tc>
      </w:tr>
      <w:tr w14:paraId="3A0E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0FC871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5768" w:type="dxa"/>
            <w:noWrap w:val="0"/>
            <w:vAlign w:val="center"/>
          </w:tcPr>
          <w:p w14:paraId="4FF5D31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HQMS上报接口</w:t>
            </w:r>
          </w:p>
        </w:tc>
        <w:tc>
          <w:tcPr>
            <w:tcW w:w="2239" w:type="dxa"/>
            <w:noWrap w:val="0"/>
            <w:vAlign w:val="center"/>
          </w:tcPr>
          <w:p w14:paraId="7C958BF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国家卫健委</w:t>
            </w:r>
          </w:p>
        </w:tc>
      </w:tr>
      <w:tr w14:paraId="296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81535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5768" w:type="dxa"/>
            <w:noWrap w:val="0"/>
            <w:vAlign w:val="center"/>
          </w:tcPr>
          <w:p w14:paraId="44AEF74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聚合支付平台接口（中信银行）</w:t>
            </w:r>
          </w:p>
        </w:tc>
        <w:tc>
          <w:tcPr>
            <w:tcW w:w="2239" w:type="dxa"/>
            <w:noWrap w:val="0"/>
            <w:vAlign w:val="center"/>
          </w:tcPr>
          <w:p w14:paraId="798EB78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中信银行</w:t>
            </w:r>
          </w:p>
        </w:tc>
      </w:tr>
      <w:tr w14:paraId="74D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11580C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5768" w:type="dxa"/>
            <w:noWrap w:val="0"/>
            <w:vAlign w:val="center"/>
          </w:tcPr>
          <w:p w14:paraId="3CAF2FF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信用就医接口</w:t>
            </w:r>
          </w:p>
        </w:tc>
        <w:tc>
          <w:tcPr>
            <w:tcW w:w="2239" w:type="dxa"/>
            <w:noWrap w:val="0"/>
            <w:vAlign w:val="center"/>
          </w:tcPr>
          <w:p w14:paraId="2A0E9FA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交通银行</w:t>
            </w:r>
          </w:p>
        </w:tc>
      </w:tr>
      <w:tr w14:paraId="3179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67F4FC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5768" w:type="dxa"/>
            <w:noWrap w:val="0"/>
            <w:vAlign w:val="center"/>
          </w:tcPr>
          <w:p w14:paraId="1E44B15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温江区医保平台接口</w:t>
            </w:r>
          </w:p>
        </w:tc>
        <w:tc>
          <w:tcPr>
            <w:tcW w:w="2239" w:type="dxa"/>
            <w:noWrap w:val="0"/>
            <w:vAlign w:val="center"/>
          </w:tcPr>
          <w:p w14:paraId="735CBCC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温江区医保局</w:t>
            </w:r>
          </w:p>
        </w:tc>
      </w:tr>
      <w:tr w14:paraId="02FB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B14B37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5768" w:type="dxa"/>
            <w:noWrap w:val="0"/>
            <w:vAlign w:val="center"/>
          </w:tcPr>
          <w:p w14:paraId="495EEB0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短信平台接口</w:t>
            </w:r>
          </w:p>
        </w:tc>
        <w:tc>
          <w:tcPr>
            <w:tcW w:w="2239" w:type="dxa"/>
            <w:noWrap w:val="0"/>
            <w:vAlign w:val="center"/>
          </w:tcPr>
          <w:p w14:paraId="0D96098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医院</w:t>
            </w:r>
          </w:p>
        </w:tc>
      </w:tr>
      <w:tr w14:paraId="0AA8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14B3E8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5768" w:type="dxa"/>
            <w:noWrap w:val="0"/>
            <w:vAlign w:val="center"/>
          </w:tcPr>
          <w:p w14:paraId="3472FD7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药品耗材追溯码上报</w:t>
            </w:r>
          </w:p>
        </w:tc>
        <w:tc>
          <w:tcPr>
            <w:tcW w:w="2239" w:type="dxa"/>
            <w:noWrap w:val="0"/>
            <w:vAlign w:val="center"/>
          </w:tcPr>
          <w:p w14:paraId="517ACC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7B0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72F67E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5768" w:type="dxa"/>
            <w:noWrap w:val="0"/>
            <w:vAlign w:val="center"/>
          </w:tcPr>
          <w:p w14:paraId="10A4619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重点人群就医接口</w:t>
            </w:r>
            <w:r>
              <w:rPr>
                <w:rFonts w:hint="eastAsia" w:ascii="仿宋" w:hAnsi="仿宋" w:eastAsia="仿宋" w:cs="仿宋"/>
                <w:sz w:val="24"/>
                <w:szCs w:val="24"/>
                <w:lang w:val="en-US" w:eastAsia="zh-CN"/>
              </w:rPr>
              <w:tab/>
            </w:r>
          </w:p>
        </w:tc>
        <w:tc>
          <w:tcPr>
            <w:tcW w:w="2239" w:type="dxa"/>
            <w:noWrap w:val="0"/>
            <w:vAlign w:val="center"/>
          </w:tcPr>
          <w:p w14:paraId="41C3DC0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bl>
    <w:p w14:paraId="3F285B27">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2.1.4配套硬件部分</w:t>
      </w:r>
    </w:p>
    <w:tbl>
      <w:tblPr>
        <w:tblStyle w:val="17"/>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27"/>
        <w:gridCol w:w="5850"/>
      </w:tblGrid>
      <w:tr w14:paraId="0C57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49B6B08">
            <w:pPr>
              <w:pStyle w:val="5"/>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127" w:type="dxa"/>
            <w:vAlign w:val="top"/>
          </w:tcPr>
          <w:p w14:paraId="50FB2D14">
            <w:pPr>
              <w:pStyle w:val="5"/>
              <w:jc w:val="center"/>
              <w:rPr>
                <w:rFonts w:hint="default"/>
                <w:b/>
                <w:bCs/>
                <w:vertAlign w:val="baseline"/>
                <w:lang w:val="en-US" w:eastAsia="zh-CN"/>
              </w:rPr>
            </w:pPr>
            <w:r>
              <w:rPr>
                <w:rFonts w:hint="eastAsia"/>
                <w:b/>
                <w:bCs/>
                <w:vertAlign w:val="baseline"/>
                <w:lang w:val="en-US" w:eastAsia="zh-CN"/>
              </w:rPr>
              <w:t>模块</w:t>
            </w:r>
          </w:p>
        </w:tc>
        <w:tc>
          <w:tcPr>
            <w:tcW w:w="5850" w:type="dxa"/>
            <w:vAlign w:val="top"/>
          </w:tcPr>
          <w:p w14:paraId="0E25A9C6">
            <w:pPr>
              <w:pStyle w:val="5"/>
              <w:jc w:val="center"/>
              <w:rPr>
                <w:rFonts w:hint="default"/>
                <w:b/>
                <w:bCs/>
                <w:vertAlign w:val="baseline"/>
                <w:lang w:val="en-US" w:eastAsia="zh-CN"/>
              </w:rPr>
            </w:pPr>
            <w:r>
              <w:rPr>
                <w:rFonts w:hint="eastAsia"/>
                <w:b/>
                <w:bCs/>
                <w:vertAlign w:val="baseline"/>
                <w:lang w:val="en-US" w:eastAsia="zh-CN"/>
              </w:rPr>
              <w:t>涉及配套硬件内容</w:t>
            </w:r>
          </w:p>
        </w:tc>
      </w:tr>
    </w:tbl>
    <w:p w14:paraId="10366A10">
      <w:pPr>
        <w:pStyle w:val="5"/>
        <w:ind w:left="0" w:leftChars="0" w:firstLine="0" w:firstLineChars="0"/>
        <w:jc w:val="both"/>
        <w:rPr>
          <w:rFonts w:hint="eastAsia"/>
          <w:vertAlign w:val="baseline"/>
          <w:lang w:val="en-US" w:eastAsia="zh-CN"/>
        </w:rPr>
      </w:pPr>
      <w:r>
        <w:rPr>
          <w:rFonts w:hint="eastAsia"/>
          <w:vertAlign w:val="baseline"/>
          <w:lang w:val="en-US" w:eastAsia="zh-CN"/>
        </w:rPr>
        <w:br w:type="page"/>
      </w:r>
    </w:p>
    <w:tbl>
      <w:tblPr>
        <w:tblStyle w:val="17"/>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27"/>
        <w:gridCol w:w="5850"/>
      </w:tblGrid>
      <w:tr w14:paraId="3781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71A5A80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27" w:type="dxa"/>
            <w:vAlign w:val="center"/>
          </w:tcPr>
          <w:p w14:paraId="151519A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急诊急救系统</w:t>
            </w:r>
          </w:p>
        </w:tc>
        <w:tc>
          <w:tcPr>
            <w:tcW w:w="5850" w:type="dxa"/>
            <w:vAlign w:val="center"/>
          </w:tcPr>
          <w:p w14:paraId="7AE616C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w:t>
            </w:r>
          </w:p>
          <w:p w14:paraId="48FE4CF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1.数字化急救车改造所涉及硬件（7辆）。</w:t>
            </w:r>
          </w:p>
          <w:p w14:paraId="7DD7B93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2.急诊指挥中心所涉及硬件。</w:t>
            </w:r>
          </w:p>
          <w:p w14:paraId="3C72E2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3.专科中心所涉及硬件。</w:t>
            </w:r>
          </w:p>
          <w:p w14:paraId="12997BA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4.患者诊疗数据采集涉及硬件 </w:t>
            </w:r>
          </w:p>
        </w:tc>
      </w:tr>
      <w:tr w14:paraId="443B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57EDE8DD">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27" w:type="dxa"/>
            <w:vAlign w:val="center"/>
          </w:tcPr>
          <w:p w14:paraId="5EAE3D8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无纸化病案系统</w:t>
            </w:r>
          </w:p>
        </w:tc>
        <w:tc>
          <w:tcPr>
            <w:tcW w:w="5850" w:type="dxa"/>
            <w:vAlign w:val="center"/>
          </w:tcPr>
          <w:p w14:paraId="2CAA7C3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w:t>
            </w:r>
          </w:p>
          <w:p w14:paraId="0F77FEC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1.专用无线</w:t>
            </w:r>
            <w:r>
              <w:rPr>
                <w:rFonts w:hint="default" w:ascii="仿宋" w:hAnsi="仿宋" w:eastAsia="仿宋" w:cs="仿宋"/>
                <w:sz w:val="24"/>
                <w:szCs w:val="24"/>
                <w:lang w:val="en-US" w:eastAsia="zh-CN"/>
              </w:rPr>
              <w:t>签字平板设备</w:t>
            </w:r>
            <w:r>
              <w:rPr>
                <w:rFonts w:hint="eastAsia" w:ascii="仿宋" w:hAnsi="仿宋" w:eastAsia="仿宋" w:cs="仿宋"/>
                <w:sz w:val="24"/>
                <w:szCs w:val="24"/>
                <w:lang w:val="en-US" w:eastAsia="zh-CN"/>
              </w:rPr>
              <w:t>324台</w:t>
            </w:r>
          </w:p>
          <w:p w14:paraId="13516BC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2.纸质文档采集高拍仪148台</w:t>
            </w:r>
          </w:p>
          <w:p w14:paraId="1BB378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3.条码扫描枪74台</w:t>
            </w:r>
          </w:p>
          <w:p w14:paraId="4F456F0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4.归档签章服务器1台</w:t>
            </w:r>
          </w:p>
          <w:p w14:paraId="363249A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5.病案自助系统5套（含输出设备）</w:t>
            </w:r>
          </w:p>
        </w:tc>
      </w:tr>
      <w:tr w14:paraId="242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12F4745C">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27" w:type="dxa"/>
            <w:vAlign w:val="center"/>
          </w:tcPr>
          <w:p w14:paraId="7C741C3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护理管理系统</w:t>
            </w:r>
          </w:p>
        </w:tc>
        <w:tc>
          <w:tcPr>
            <w:tcW w:w="5850" w:type="dxa"/>
            <w:vAlign w:val="center"/>
          </w:tcPr>
          <w:p w14:paraId="1B4814F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硬件需求：Pad 12台</w:t>
            </w:r>
          </w:p>
        </w:tc>
      </w:tr>
      <w:tr w14:paraId="54E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17A4C03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27" w:type="dxa"/>
            <w:vAlign w:val="center"/>
          </w:tcPr>
          <w:p w14:paraId="36236CF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临床药师管理</w:t>
            </w:r>
          </w:p>
        </w:tc>
        <w:tc>
          <w:tcPr>
            <w:tcW w:w="5850" w:type="dxa"/>
            <w:vAlign w:val="center"/>
          </w:tcPr>
          <w:p w14:paraId="491D7AB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硬件需求：Pad 12台</w:t>
            </w:r>
          </w:p>
        </w:tc>
      </w:tr>
      <w:tr w14:paraId="5FA3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3B2D5D5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27" w:type="dxa"/>
            <w:vAlign w:val="center"/>
          </w:tcPr>
          <w:p w14:paraId="2E8063B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门急诊输液治疗</w:t>
            </w:r>
          </w:p>
        </w:tc>
        <w:tc>
          <w:tcPr>
            <w:tcW w:w="5850" w:type="dxa"/>
            <w:vAlign w:val="center"/>
          </w:tcPr>
          <w:p w14:paraId="4988336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硬件需求：Pda 16台</w:t>
            </w:r>
          </w:p>
        </w:tc>
      </w:tr>
    </w:tbl>
    <w:p w14:paraId="55FF60A6">
      <w:pPr>
        <w:rPr>
          <w:rFonts w:hint="eastAsia" w:ascii="仿宋" w:hAnsi="仿宋" w:eastAsia="仿宋" w:cs="仿宋"/>
          <w:b/>
          <w:bCs/>
          <w:kern w:val="2"/>
          <w:sz w:val="28"/>
          <w:szCs w:val="28"/>
          <w:lang w:val="en-US" w:eastAsia="zh-CN" w:bidi="ar"/>
        </w:rPr>
      </w:pPr>
    </w:p>
    <w:p w14:paraId="65BCE78C">
      <w:pPr>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注：</w:t>
      </w:r>
    </w:p>
    <w:p w14:paraId="1402F5B7">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项目建设中如遇国家标准更新，按最新标准执行。</w:t>
      </w:r>
    </w:p>
    <w:p w14:paraId="596C0F4A">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项目建设中如遇评审标准更新，按国家及省市新旧标准对应级别执行。例如电子病历系统应用水平分级评价标准可能调整为智慧医疗分级评价方法及标准。</w:t>
      </w:r>
    </w:p>
    <w:p w14:paraId="0043528B">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项目利旧扩容系统、政策性及其他接口医院已应列尽列，如确实因梳理遗漏存在在用其他系统及接口，项目建设内容应包含。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1A6DE"/>
    <w:multiLevelType w:val="singleLevel"/>
    <w:tmpl w:val="8CC1A6DE"/>
    <w:lvl w:ilvl="0" w:tentative="0">
      <w:start w:val="1"/>
      <w:numFmt w:val="decimal"/>
      <w:suff w:val="nothing"/>
      <w:lvlText w:val="%1、"/>
      <w:lvlJc w:val="left"/>
    </w:lvl>
  </w:abstractNum>
  <w:abstractNum w:abstractNumId="1">
    <w:nsid w:val="7745DD01"/>
    <w:multiLevelType w:val="singleLevel"/>
    <w:tmpl w:val="7745DD0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03441B3"/>
    <w:rsid w:val="02A43050"/>
    <w:rsid w:val="02EF358E"/>
    <w:rsid w:val="02FE7CDB"/>
    <w:rsid w:val="04E85352"/>
    <w:rsid w:val="09862E1C"/>
    <w:rsid w:val="0C916A6A"/>
    <w:rsid w:val="0D2041F6"/>
    <w:rsid w:val="0D9743AA"/>
    <w:rsid w:val="0F0732CA"/>
    <w:rsid w:val="11A606E1"/>
    <w:rsid w:val="12183726"/>
    <w:rsid w:val="135D6F36"/>
    <w:rsid w:val="139B53CB"/>
    <w:rsid w:val="145E00B3"/>
    <w:rsid w:val="163858AD"/>
    <w:rsid w:val="17427E0B"/>
    <w:rsid w:val="18B708FC"/>
    <w:rsid w:val="1A25472E"/>
    <w:rsid w:val="1B89378E"/>
    <w:rsid w:val="1C550B58"/>
    <w:rsid w:val="1CDC4DD5"/>
    <w:rsid w:val="201E7EA9"/>
    <w:rsid w:val="20532A6A"/>
    <w:rsid w:val="21091F11"/>
    <w:rsid w:val="21C33CC9"/>
    <w:rsid w:val="22546167"/>
    <w:rsid w:val="230751DE"/>
    <w:rsid w:val="2329689A"/>
    <w:rsid w:val="2A9E5779"/>
    <w:rsid w:val="2D590181"/>
    <w:rsid w:val="2F2A706B"/>
    <w:rsid w:val="30D90521"/>
    <w:rsid w:val="317475AC"/>
    <w:rsid w:val="31DF2D48"/>
    <w:rsid w:val="335257AD"/>
    <w:rsid w:val="341D53EE"/>
    <w:rsid w:val="34490759"/>
    <w:rsid w:val="348D5F2C"/>
    <w:rsid w:val="35F475EF"/>
    <w:rsid w:val="36193C1A"/>
    <w:rsid w:val="36781175"/>
    <w:rsid w:val="38B1703F"/>
    <w:rsid w:val="3A811083"/>
    <w:rsid w:val="3C393C48"/>
    <w:rsid w:val="3DDC1B5E"/>
    <w:rsid w:val="3DDE6C81"/>
    <w:rsid w:val="3FE657C6"/>
    <w:rsid w:val="3FFE3893"/>
    <w:rsid w:val="409A576D"/>
    <w:rsid w:val="409D4282"/>
    <w:rsid w:val="40FF7C40"/>
    <w:rsid w:val="41536DC7"/>
    <w:rsid w:val="41B636AC"/>
    <w:rsid w:val="42F637F7"/>
    <w:rsid w:val="43054AC7"/>
    <w:rsid w:val="4376774B"/>
    <w:rsid w:val="43A63CED"/>
    <w:rsid w:val="44C712BE"/>
    <w:rsid w:val="48A84C71"/>
    <w:rsid w:val="48F9074E"/>
    <w:rsid w:val="494C6B32"/>
    <w:rsid w:val="49601899"/>
    <w:rsid w:val="4996675E"/>
    <w:rsid w:val="4A2A5CA7"/>
    <w:rsid w:val="4BA478AA"/>
    <w:rsid w:val="4C300B27"/>
    <w:rsid w:val="4C46713D"/>
    <w:rsid w:val="4C617D74"/>
    <w:rsid w:val="4D5B4ACA"/>
    <w:rsid w:val="4F8D0B50"/>
    <w:rsid w:val="50962F12"/>
    <w:rsid w:val="50CB022C"/>
    <w:rsid w:val="50D743FB"/>
    <w:rsid w:val="515F00D2"/>
    <w:rsid w:val="51997A84"/>
    <w:rsid w:val="51B03B5F"/>
    <w:rsid w:val="523E67D6"/>
    <w:rsid w:val="524B631D"/>
    <w:rsid w:val="5455279C"/>
    <w:rsid w:val="5662650C"/>
    <w:rsid w:val="568C6E1A"/>
    <w:rsid w:val="56E21C0C"/>
    <w:rsid w:val="58557621"/>
    <w:rsid w:val="59E34F42"/>
    <w:rsid w:val="5A637873"/>
    <w:rsid w:val="5B7C721B"/>
    <w:rsid w:val="5BCF03F7"/>
    <w:rsid w:val="5CA21F50"/>
    <w:rsid w:val="5D8868E5"/>
    <w:rsid w:val="60763917"/>
    <w:rsid w:val="607B2EC0"/>
    <w:rsid w:val="6083374F"/>
    <w:rsid w:val="63387646"/>
    <w:rsid w:val="63DE1564"/>
    <w:rsid w:val="67A5501F"/>
    <w:rsid w:val="695D32A3"/>
    <w:rsid w:val="69F43ADD"/>
    <w:rsid w:val="6A271C1F"/>
    <w:rsid w:val="6CA6748F"/>
    <w:rsid w:val="6DAF419E"/>
    <w:rsid w:val="6FB3348F"/>
    <w:rsid w:val="6FFB572A"/>
    <w:rsid w:val="731C73CE"/>
    <w:rsid w:val="75596EBD"/>
    <w:rsid w:val="777C4360"/>
    <w:rsid w:val="78131E37"/>
    <w:rsid w:val="79F2751F"/>
    <w:rsid w:val="7B134309"/>
    <w:rsid w:val="7C3755ED"/>
    <w:rsid w:val="7CF90201"/>
    <w:rsid w:val="7EB72F35"/>
    <w:rsid w:val="7FF4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5"/>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7">
    <w:name w:val="heading 4"/>
    <w:basedOn w:val="1"/>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5">
    <w:name w:val="样式 正文缩进 + 首行缩进:  2 字符"/>
    <w:basedOn w:val="6"/>
    <w:qFormat/>
    <w:uiPriority w:val="0"/>
    <w:rPr>
      <w:rFonts w:ascii="Calibri" w:hAnsi="Calibri"/>
      <w:kern w:val="0"/>
      <w:szCs w:val="20"/>
    </w:rPr>
  </w:style>
  <w:style w:type="paragraph" w:styleId="6">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spacing w:after="120" w:afterLines="0" w:afterAutospacing="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6"/>
    <w:basedOn w:val="1"/>
    <w:next w:val="1"/>
    <w:unhideWhenUsed/>
    <w:qFormat/>
    <w:uiPriority w:val="39"/>
    <w:pPr>
      <w:ind w:left="2100" w:leftChars="1000"/>
    </w:pPr>
    <w:rPr>
      <w:szCs w:val="22"/>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13">
    <w:name w:val="Title"/>
    <w:basedOn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4">
    <w:name w:val="Body Text First Indent"/>
    <w:basedOn w:val="8"/>
    <w:next w:val="11"/>
    <w:unhideWhenUsed/>
    <w:qFormat/>
    <w:uiPriority w:val="99"/>
    <w:pPr>
      <w:ind w:firstLine="420" w:firstLineChars="100"/>
    </w:pPr>
  </w:style>
  <w:style w:type="paragraph" w:styleId="15">
    <w:name w:val="Body Text First Indent 2"/>
    <w:basedOn w:val="9"/>
    <w:next w:val="14"/>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BodyText"/>
    <w:basedOn w:val="1"/>
    <w:next w:val="1"/>
    <w:qFormat/>
    <w:uiPriority w:val="0"/>
    <w:pPr>
      <w:spacing w:after="120"/>
    </w:pPr>
  </w:style>
  <w:style w:type="paragraph" w:styleId="22">
    <w:name w:val="List Paragraph"/>
    <w:basedOn w:val="1"/>
    <w:unhideWhenUsed/>
    <w:qFormat/>
    <w:uiPriority w:val="99"/>
    <w:pPr>
      <w:ind w:firstLine="420" w:firstLineChars="200"/>
    </w:pPr>
  </w:style>
  <w:style w:type="paragraph" w:customStyle="1" w:styleId="23">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24">
    <w:name w:val="font31"/>
    <w:basedOn w:val="18"/>
    <w:qFormat/>
    <w:uiPriority w:val="0"/>
    <w:rPr>
      <w:rFonts w:hint="default" w:ascii="Times New Roman" w:hAnsi="Times New Roman" w:cs="Times New Roman"/>
      <w:color w:val="000000"/>
      <w:sz w:val="18"/>
      <w:szCs w:val="18"/>
      <w:u w:val="none"/>
    </w:rPr>
  </w:style>
  <w:style w:type="character" w:customStyle="1" w:styleId="25">
    <w:name w:val="font2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hint="eastAsia" w:ascii="宋体" w:hAnsi="宋体" w:eastAsia="宋体" w:cs="宋体"/>
      <w:color w:val="000000"/>
      <w:sz w:val="20"/>
      <w:szCs w:val="20"/>
      <w:u w:val="none"/>
    </w:rPr>
  </w:style>
  <w:style w:type="paragraph" w:customStyle="1" w:styleId="27">
    <w:name w:val="标准正文样式"/>
    <w:basedOn w:val="1"/>
    <w:qFormat/>
    <w:uiPriority w:val="0"/>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15381</Words>
  <Characters>15776</Characters>
  <Lines>0</Lines>
  <Paragraphs>0</Paragraphs>
  <TotalTime>7</TotalTime>
  <ScaleCrop>false</ScaleCrop>
  <LinksUpToDate>false</LinksUpToDate>
  <CharactersWithSpaces>15802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彭会</cp:lastModifiedBy>
  <dcterms:modified xsi:type="dcterms:W3CDTF">2025-09-24T06:08:46Z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55FFDAD5D5964861B3C144D195158EAE_13</vt:lpwstr>
  </property>
  <property fmtid="{D5CDD505-2E9C-101B-9397-08002B2CF9AE}" pid="4" name="KSOTemplateDocerSaveRecord">
    <vt:lpwstr>eyJoZGlkIjoiNGI4Mzg1ZDk4M2FhOTNhNzQ3MzkwZjhiNWRiNWM2YzQiLCJ1c2VySWQiOiI4MTE5NDYyODcifQ==</vt:lpwstr>
  </property>
</Properties>
</file>