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光华院区智慧门诊采购项目</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调研需求</w:t>
      </w:r>
    </w:p>
    <w:p>
      <w:pPr>
        <w:keepNext w:val="0"/>
        <w:keepLines w:val="0"/>
        <w:widowControl/>
        <w:numPr>
          <w:ilvl w:val="0"/>
          <w:numId w:val="1"/>
        </w:numPr>
        <w:suppressLineNumbers w:val="0"/>
        <w:spacing w:line="360" w:lineRule="auto"/>
        <w:ind w:left="0" w:leftChars="0" w:firstLine="420" w:firstLineChars="0"/>
        <w:jc w:val="left"/>
        <w:rPr>
          <w:rFonts w:hint="eastAsia" w:ascii="方正公文黑体" w:hAnsi="方正公文黑体" w:eastAsia="方正公文黑体" w:cs="方正公文黑体"/>
          <w:kern w:val="0"/>
          <w:sz w:val="24"/>
          <w:szCs w:val="24"/>
          <w:lang w:val="en-US" w:eastAsia="zh-CN" w:bidi="ar"/>
        </w:rPr>
      </w:pPr>
      <w:r>
        <w:rPr>
          <w:rFonts w:hint="eastAsia" w:ascii="方正公文黑体" w:hAnsi="方正公文黑体" w:eastAsia="方正公文黑体" w:cs="方正公文黑体"/>
          <w:kern w:val="0"/>
          <w:sz w:val="24"/>
          <w:szCs w:val="24"/>
          <w:lang w:val="en-US" w:eastAsia="zh-CN" w:bidi="ar"/>
        </w:rPr>
        <w:t>项目背景</w:t>
      </w:r>
    </w:p>
    <w:p>
      <w:pPr>
        <w:numPr>
          <w:ilvl w:val="0"/>
          <w:numId w:val="0"/>
        </w:numPr>
        <w:ind w:leftChars="0" w:firstLine="480"/>
        <w:jc w:val="both"/>
        <w:rPr>
          <w:rFonts w:hint="eastAsia" w:ascii="仿宋" w:hAnsi="仿宋" w:eastAsia="仿宋" w:cs="仿宋"/>
          <w:color w:val="000000"/>
          <w:sz w:val="24"/>
          <w:szCs w:val="24"/>
          <w:lang w:val="en-US" w:eastAsia="zh-CN"/>
        </w:rPr>
      </w:pPr>
      <w:r>
        <w:rPr>
          <w:rFonts w:hint="eastAsia" w:ascii="仿宋" w:hAnsi="仿宋" w:eastAsia="仿宋" w:cs="仿宋"/>
          <w:i w:val="0"/>
          <w:iCs w:val="0"/>
          <w:caps w:val="0"/>
          <w:color w:val="404040"/>
          <w:spacing w:val="0"/>
          <w:sz w:val="24"/>
          <w:szCs w:val="24"/>
          <w:shd w:val="clear" w:color="auto" w:fill="FFFFFF"/>
        </w:rPr>
        <w:t>成都市第五人民医院光华院区</w:t>
      </w:r>
      <w:r>
        <w:rPr>
          <w:rFonts w:hint="eastAsia" w:ascii="仿宋" w:hAnsi="仿宋" w:eastAsia="仿宋" w:cs="仿宋"/>
          <w:i w:val="0"/>
          <w:iCs w:val="0"/>
          <w:caps w:val="0"/>
          <w:color w:val="404040"/>
          <w:spacing w:val="0"/>
          <w:sz w:val="24"/>
          <w:szCs w:val="24"/>
          <w:shd w:val="clear" w:color="auto" w:fill="FFFFFF"/>
          <w:lang w:val="en-US" w:eastAsia="zh-CN"/>
        </w:rPr>
        <w:t>建设目前基建已封顶</w:t>
      </w:r>
      <w:r>
        <w:rPr>
          <w:rFonts w:hint="eastAsia" w:ascii="仿宋" w:hAnsi="仿宋" w:eastAsia="仿宋" w:cs="仿宋"/>
          <w:i w:val="0"/>
          <w:iCs w:val="0"/>
          <w:caps w:val="0"/>
          <w:color w:val="404040"/>
          <w:spacing w:val="0"/>
          <w:sz w:val="24"/>
          <w:szCs w:val="24"/>
          <w:shd w:val="clear" w:color="auto" w:fill="FFFFFF"/>
        </w:rPr>
        <w:t>，随着医疗信息化建设的不断深入和医院多院区发展的战略需求，亟需建设</w:t>
      </w:r>
      <w:r>
        <w:rPr>
          <w:rFonts w:hint="eastAsia" w:ascii="仿宋" w:hAnsi="仿宋" w:eastAsia="仿宋" w:cs="仿宋"/>
          <w:i w:val="0"/>
          <w:iCs w:val="0"/>
          <w:caps w:val="0"/>
          <w:color w:val="404040"/>
          <w:spacing w:val="0"/>
          <w:sz w:val="24"/>
          <w:szCs w:val="24"/>
          <w:shd w:val="clear" w:color="auto" w:fill="FFFFFF"/>
          <w:lang w:val="en-US" w:eastAsia="zh-CN"/>
        </w:rPr>
        <w:t>智慧门诊</w:t>
      </w:r>
      <w:r>
        <w:rPr>
          <w:rFonts w:hint="eastAsia" w:ascii="仿宋" w:hAnsi="仿宋" w:eastAsia="仿宋" w:cs="仿宋"/>
          <w:i w:val="0"/>
          <w:iCs w:val="0"/>
          <w:caps w:val="0"/>
          <w:color w:val="404040"/>
          <w:spacing w:val="0"/>
          <w:sz w:val="24"/>
          <w:szCs w:val="24"/>
          <w:shd w:val="clear" w:color="auto" w:fill="FFFFFF"/>
          <w:lang w:eastAsia="zh-CN"/>
        </w:rPr>
        <w:t>，</w:t>
      </w:r>
      <w:r>
        <w:rPr>
          <w:rFonts w:hint="eastAsia" w:ascii="仿宋" w:hAnsi="仿宋" w:eastAsia="仿宋" w:cs="仿宋"/>
          <w:i w:val="0"/>
          <w:iCs w:val="0"/>
          <w:caps w:val="0"/>
          <w:color w:val="404040"/>
          <w:spacing w:val="0"/>
          <w:sz w:val="24"/>
          <w:szCs w:val="24"/>
          <w:shd w:val="clear" w:color="auto" w:fill="FFFFFF"/>
          <w:lang w:val="en-US" w:eastAsia="zh-CN"/>
        </w:rPr>
        <w:t>包括导诊机器人、排队叫号系统，以</w:t>
      </w:r>
      <w:r>
        <w:rPr>
          <w:rFonts w:hint="eastAsia" w:ascii="仿宋" w:hAnsi="仿宋" w:eastAsia="仿宋" w:cs="仿宋"/>
          <w:i w:val="0"/>
          <w:iCs w:val="0"/>
          <w:caps w:val="0"/>
          <w:color w:val="404040"/>
          <w:spacing w:val="0"/>
          <w:sz w:val="24"/>
          <w:szCs w:val="24"/>
          <w:shd w:val="clear" w:color="auto" w:fill="FFFFFF"/>
        </w:rPr>
        <w:t>提升医疗服务质量，为医院高质量发展提供信息化支撑。</w:t>
      </w:r>
    </w:p>
    <w:p>
      <w:pPr>
        <w:numPr>
          <w:ilvl w:val="0"/>
          <w:numId w:val="0"/>
        </w:num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方正公文黑体" w:hAnsi="方正公文黑体" w:eastAsia="方正公文黑体" w:cs="方正公文黑体"/>
          <w:kern w:val="0"/>
          <w:sz w:val="24"/>
          <w:szCs w:val="24"/>
          <w:lang w:val="en-US" w:eastAsia="zh-CN" w:bidi="ar"/>
        </w:rPr>
        <w:t>二、项目需求：</w:t>
      </w:r>
    </w:p>
    <w:tbl>
      <w:tblPr>
        <w:tblStyle w:val="13"/>
        <w:tblW w:w="9419"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05"/>
        <w:gridCol w:w="7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9"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导诊机器人</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集成了先进人工智能技术的医疗服务机器人提供全天候自助服务与信息查询，满足患者不同时段的导诊需求，无需排队等候人工窗口，提升医疗服务的便捷性与可达性。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强化医院管理：机器人服务过程中记录的数据为医院管理者提供详实的运营分析报告，有助于优化服务流程、调整资源布局。1、智能机器人导诊分布在门诊大厅、各楼层，提供问路、科室介绍、就医流程解答等服务。2、智能翻译助手：门诊导诊机器人、自助机支持中英、中日、中韩等多语种语音/文字翻译，解决外籍患者沟通问题。3、手语支援，解决聋哑患者沟通问题。4、支持预约、支付等自助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2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排队叫号系统</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应用于医院门诊部、药房、采血中心、收费结算、检查室等解决患者就诊流程无序、就医环境杂等问题，帮助护士智能分流、引导患者有序就诊，通过大模式+AI陪诊技术制定患者个性化就医路径。</w:t>
            </w:r>
          </w:p>
        </w:tc>
      </w:tr>
    </w:tbl>
    <w:p>
      <w:pPr>
        <w:numPr>
          <w:ilvl w:val="0"/>
          <w:numId w:val="0"/>
        </w:numPr>
        <w:jc w:val="both"/>
        <w:rPr>
          <w:rFonts w:hint="eastAsia" w:ascii="仿宋" w:hAnsi="仿宋" w:eastAsia="仿宋" w:cs="仿宋"/>
          <w:color w:val="000000"/>
          <w:sz w:val="24"/>
          <w:szCs w:val="24"/>
          <w:lang w:val="en-US" w:eastAsia="zh-CN"/>
        </w:rPr>
      </w:pPr>
    </w:p>
    <w:tbl>
      <w:tblPr>
        <w:tblStyle w:val="13"/>
        <w:tblW w:w="914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
        <w:gridCol w:w="135"/>
        <w:gridCol w:w="1699"/>
        <w:gridCol w:w="1658"/>
        <w:gridCol w:w="3252"/>
        <w:gridCol w:w="535"/>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9140"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导诊机器人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子项</w:t>
            </w:r>
          </w:p>
        </w:tc>
        <w:tc>
          <w:tcPr>
            <w:tcW w:w="4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03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导诊机器人</w:t>
            </w:r>
          </w:p>
        </w:tc>
        <w:tc>
          <w:tcPr>
            <w:tcW w:w="4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导诊机器人</w:t>
            </w:r>
          </w:p>
        </w:tc>
        <w:tc>
          <w:tcPr>
            <w:tcW w:w="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03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机器人软件</w:t>
            </w:r>
          </w:p>
        </w:tc>
        <w:tc>
          <w:tcPr>
            <w:tcW w:w="4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机器人软件（含接口）</w:t>
            </w:r>
          </w:p>
        </w:tc>
        <w:tc>
          <w:tcPr>
            <w:tcW w:w="5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140"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排队叫号系统报价表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49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子项</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95" w:type="dxa"/>
            <w:tcBorders>
              <w:top w:val="nil"/>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3492" w:type="dxa"/>
            <w:gridSpan w:val="3"/>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C00000"/>
                <w:kern w:val="0"/>
                <w:sz w:val="24"/>
                <w:szCs w:val="24"/>
                <w:u w:val="none"/>
                <w:lang w:val="en-US" w:eastAsia="zh-CN" w:bidi="ar"/>
              </w:rPr>
              <w:t>中心机房</w:t>
            </w:r>
          </w:p>
        </w:tc>
        <w:tc>
          <w:tcPr>
            <w:tcW w:w="3252" w:type="dxa"/>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服务器</w:t>
            </w:r>
          </w:p>
        </w:tc>
        <w:tc>
          <w:tcPr>
            <w:tcW w:w="535" w:type="dxa"/>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6" w:type="dxa"/>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95" w:type="dxa"/>
            <w:tcBorders>
              <w:top w:val="single" w:color="000000" w:sz="4" w:space="0"/>
              <w:left w:val="nil"/>
              <w:bottom w:val="single" w:color="000000" w:sz="4" w:space="0"/>
              <w:right w:val="nil"/>
            </w:tcBorders>
            <w:noWrap w:val="0"/>
            <w:vAlign w:val="center"/>
          </w:tcPr>
          <w:p>
            <w:pPr>
              <w:jc w:val="center"/>
              <w:rPr>
                <w:rFonts w:hint="eastAsia" w:ascii="仿宋" w:hAnsi="仿宋" w:eastAsia="仿宋" w:cs="仿宋"/>
                <w:b/>
                <w:bCs/>
                <w:i w:val="0"/>
                <w:iCs w:val="0"/>
                <w:color w:val="000000"/>
                <w:sz w:val="24"/>
                <w:szCs w:val="24"/>
                <w:u w:val="none"/>
              </w:rPr>
            </w:pPr>
          </w:p>
        </w:tc>
        <w:tc>
          <w:tcPr>
            <w:tcW w:w="824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 门诊信发宣教终端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89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349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43寸窗口叫号网络液晶一体机</w:t>
            </w:r>
          </w:p>
        </w:tc>
        <w:tc>
          <w:tcPr>
            <w:tcW w:w="325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网络液晶一体机</w:t>
            </w:r>
          </w:p>
        </w:tc>
        <w:tc>
          <w:tcPr>
            <w:tcW w:w="5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9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349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55寸候诊区叫号网络液晶一体机</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网络液晶一体机</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9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349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22寸诊室液晶一体机</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网络液晶一体机</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9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349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21.5寸自助报到一体机</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智能自助服务终端(竖)</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89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3492" w:type="dxa"/>
            <w:gridSpan w:val="3"/>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多媒体功率放大器</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功放</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95"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349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吸顶喇叭</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吸顶喇叭</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r>
    </w:tbl>
    <w:p>
      <w:pPr>
        <w:numPr>
          <w:ilvl w:val="0"/>
          <w:numId w:val="0"/>
        </w:numPr>
        <w:jc w:val="both"/>
        <w:rPr>
          <w:rFonts w:hint="eastAsia" w:ascii="仿宋" w:hAnsi="仿宋" w:eastAsia="仿宋" w:cs="仿宋"/>
          <w:color w:val="000000"/>
          <w:sz w:val="24"/>
          <w:szCs w:val="24"/>
          <w:lang w:val="en-US" w:eastAsia="zh-CN"/>
        </w:rPr>
      </w:pPr>
    </w:p>
    <w:tbl>
      <w:tblPr>
        <w:tblStyle w:val="13"/>
        <w:tblW w:w="926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7"/>
        <w:gridCol w:w="6834"/>
        <w:gridCol w:w="543"/>
        <w:gridCol w:w="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9260" w:type="dxa"/>
            <w:gridSpan w:val="4"/>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软件部分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907"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c>
          <w:tcPr>
            <w:tcW w:w="683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排队叫号系统（含接口）</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套</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r>
    </w:tbl>
    <w:p>
      <w:pPr>
        <w:numPr>
          <w:ilvl w:val="0"/>
          <w:numId w:val="0"/>
        </w:numPr>
        <w:jc w:val="both"/>
        <w:rPr>
          <w:rFonts w:hint="eastAsia" w:ascii="仿宋" w:hAnsi="仿宋" w:eastAsia="仿宋" w:cs="仿宋"/>
          <w:color w:val="000000"/>
          <w:sz w:val="24"/>
          <w:szCs w:val="24"/>
          <w:lang w:val="en-US" w:eastAsia="zh-CN"/>
        </w:rPr>
      </w:pPr>
    </w:p>
    <w:p>
      <w:pPr>
        <w:keepNext w:val="0"/>
        <w:keepLines w:val="0"/>
        <w:widowControl/>
        <w:numPr>
          <w:ilvl w:val="0"/>
          <w:numId w:val="0"/>
        </w:numPr>
        <w:suppressLineNumbers w:val="0"/>
        <w:spacing w:line="360" w:lineRule="auto"/>
        <w:jc w:val="left"/>
        <w:rPr>
          <w:rFonts w:hint="default" w:ascii="仿宋" w:hAnsi="仿宋" w:eastAsia="仿宋" w:cs="仿宋"/>
          <w:kern w:val="0"/>
          <w:sz w:val="24"/>
          <w:szCs w:val="24"/>
          <w:lang w:val="en-US" w:eastAsia="zh-CN" w:bidi="ar"/>
        </w:rPr>
      </w:pPr>
    </w:p>
    <w:p>
      <w:pPr>
        <w:keepNext w:val="0"/>
        <w:keepLines w:val="0"/>
        <w:widowControl/>
        <w:numPr>
          <w:ilvl w:val="0"/>
          <w:numId w:val="0"/>
        </w:numPr>
        <w:suppressLineNumbers w:val="0"/>
        <w:spacing w:line="360" w:lineRule="auto"/>
        <w:ind w:left="420" w:leftChars="0"/>
        <w:jc w:val="left"/>
        <w:rPr>
          <w:rFonts w:hint="eastAsia" w:ascii="方正公文黑体" w:hAnsi="方正公文黑体" w:eastAsia="方正公文黑体" w:cs="方正公文黑体"/>
          <w:kern w:val="0"/>
          <w:sz w:val="24"/>
          <w:szCs w:val="24"/>
          <w:lang w:val="en-US" w:eastAsia="zh-CN" w:bidi="ar"/>
        </w:rPr>
      </w:pPr>
      <w:r>
        <w:rPr>
          <w:rFonts w:hint="eastAsia" w:ascii="方正公文黑体" w:hAnsi="方正公文黑体" w:eastAsia="方正公文黑体" w:cs="方正公文黑体"/>
          <w:kern w:val="0"/>
          <w:sz w:val="24"/>
          <w:szCs w:val="24"/>
          <w:lang w:val="en-US" w:eastAsia="zh-CN" w:bidi="ar"/>
        </w:rPr>
        <w:t>三、信息安全要求：</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1．系统软、硬件环境必须在医院内网安装运行，应按照网络安全等级保护 2.0 标准中的三级系统要求建设，所提供服务需要接入互联网的应按照我院信息安全管理规定执行。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2．应实现对数据操作的监控和审计。系统使用环节涉及个人隐私信息处理时，应合理确定个人隐私信息处理的操作权限，提供访问控制功能，依据安全策略控制用户对文件、数据库表等客体的访问。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3．应提供专用的登录控制模块对登录用户进行身份标识和鉴别，身份鉴别信息应具有不易被冒用的特点，应提供用户身份标识唯一和鉴别信息复杂度检查功能。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4．应对通信过程中的敏感信息字段进行加密、使用符合国家密码管理规定的密码技术和产品。取两种或两种以上组合鉴别技术，密码长度不小于8位，能够设置复杂度要求、定期更换要求。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5．系统需持续监测自身健康状态，发现运行或重要配置等异常情况时，能及时通报预警。应对应用系统的用户标识与鉴别、访问控制的所有操作记录、重要用户行为等重要安全事件进行审计，确保所有运维操作可授权、可追踪、可审查。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6．应提供数据有效性检验功能，保证通过人机接口输入或通过通信接口输入的数据格式或长度符合系统设定要求。不存在 SQL 注入、跨站脚本、文件包含、目录遍历、危险端口、信息泄露等漏洞，以及所使用的第三方插件不存在漏洞。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7．提供有效的防篡改技术，阻断对页面的篡改，当应用系统的通信双方中的一方在一段时间内未作任何响应，另一方应能够自动结束会话。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8．系统需提供不同级别，不同故障情况下的系统应急处置预案。避免因系统故障导致医疗活动产生不良后果。 </w:t>
      </w:r>
    </w:p>
    <w:p>
      <w:pPr>
        <w:ind w:firstLine="480" w:firstLineChars="200"/>
        <w:rPr>
          <w:rFonts w:hint="eastAsia" w:ascii="方正公文小标宋" w:hAnsi="方正公文小标宋" w:eastAsia="方正公文小标宋" w:cs="方正公文小标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9．系统需兼容院内主要操作系统（WIN 7、WIN 10、WIN11）及浏览器（IE、Chrome、39Edge），并及时更新各环境的安全补丁。</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方正公文黑体" w:hAnsi="方正公文黑体" w:eastAsia="方正公文黑体" w:cs="方正公文黑体"/>
          <w:b w:val="0"/>
          <w:bCs w:val="0"/>
          <w:color w:val="auto"/>
          <w:kern w:val="2"/>
          <w:sz w:val="24"/>
          <w:szCs w:val="24"/>
          <w:lang w:val="en-US" w:eastAsia="zh-CN" w:bidi="ar-SA"/>
        </w:rPr>
        <w:t>四、管理安全要求</w:t>
      </w:r>
      <w:r>
        <w:rPr>
          <w:rFonts w:hint="eastAsia" w:ascii="仿宋" w:hAnsi="仿宋" w:eastAsia="仿宋" w:cs="仿宋"/>
          <w:b w:val="0"/>
          <w:bCs w:val="0"/>
          <w:color w:val="auto"/>
          <w:kern w:val="2"/>
          <w:sz w:val="24"/>
          <w:szCs w:val="24"/>
          <w:lang w:val="en-US" w:eastAsia="zh-CN" w:bidi="ar-SA"/>
        </w:rPr>
        <w:t xml:space="preserve">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1．对系统进行安全性论证，对总体安全策略、安全技术框架、安全需求分析、安全功能说明、技术可行性等进行论述与分析。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2．应用系统正式上线前，软件提供方须对本项目数据库、操作系统、中间件、应用软件等进行安全加固。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3．应在软件上线前，由第三方机构检测软件包中可能存在的恶意代码，并审查软件中可能存在的后门。第三方检测出具检测合格报告后，方可上线。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4．应对系统测试数据加以保护和控制，并避免使用含有个人隐私或敏感信息的数据去测试系统，确保测试数据的普遍性。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5．严格控制对系统源代码的访问，程序源代码库的维护和拷贝应当遵从严格的变更控制程序。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6．在系统开发与运行维护的所有阶段实施严格的变更控制，对变更的申请、审核、 测试、批准、执行计划与具体实施提出明确要求，确保系统安全性与控制措施不被损害，确保系统文档及时更新，做好软件升级的版本控制。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7．根据数据的重要性及其对系统运行的影响，制定数据的备份策略和恢复策略，明确备份数据的放置场所、文件命名规则、介质替换频率和数据离站运输方法。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8．对于医院或第三方进行漏洞扫描、渗透测试等安全风险评测时产生的问题，及时保质配合完成修复。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9．协助医院在统一的应急预案框架下制定不同事件的应急预案，应急预案框架应包括启动应急预案的条件、应急处理流程、系统恢复流程、事后教育和培训等内容。 </w:t>
      </w:r>
    </w:p>
    <w:p>
      <w:pPr>
        <w:ind w:firstLine="480" w:firstLineChars="200"/>
        <w:rPr>
          <w:rFonts w:hint="eastAsia" w:ascii="方正公文小标宋" w:hAnsi="方正公文小标宋" w:eastAsia="方正公文小标宋" w:cs="方正公文小标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10．投标人应按照我院要求，配合我院完成等级保护评审、备案工作。</w:t>
      </w:r>
    </w:p>
    <w:p>
      <w:pPr>
        <w:ind w:firstLine="480" w:firstLineChars="200"/>
        <w:rPr>
          <w:rFonts w:hint="eastAsia" w:ascii="方正公文黑体" w:hAnsi="方正公文黑体" w:eastAsia="方正公文黑体" w:cs="方正公文黑体"/>
          <w:b w:val="0"/>
          <w:bCs w:val="0"/>
          <w:color w:val="auto"/>
          <w:kern w:val="2"/>
          <w:sz w:val="24"/>
          <w:szCs w:val="24"/>
          <w:lang w:val="en-US" w:eastAsia="zh-CN" w:bidi="ar-SA"/>
        </w:rPr>
      </w:pPr>
      <w:r>
        <w:rPr>
          <w:rFonts w:hint="eastAsia" w:ascii="方正公文黑体" w:hAnsi="方正公文黑体" w:eastAsia="方正公文黑体" w:cs="方正公文黑体"/>
          <w:b w:val="0"/>
          <w:bCs w:val="0"/>
          <w:color w:val="auto"/>
          <w:kern w:val="2"/>
          <w:sz w:val="24"/>
          <w:szCs w:val="24"/>
          <w:lang w:val="en-US" w:eastAsia="zh-CN" w:bidi="ar-SA"/>
        </w:rPr>
        <w:t xml:space="preserve">五、集成及数据要求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1．数据库设计符合《医院信息系统功能基本规范》、《电子病历系统功能规范（试行）》、《电子病历系统应用水平分级评价管理办法（试行）》、《电子病历共享文档规范》等各项国家相关标准的规范要求。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2．接口原则：保持数据一致性、保持数据的完整性、保持数据库的效率、数据库的安全性。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3．我院提供满足投标人要求的硬件环境，软件在此硬件环境下部署完成软硬件集成。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4．支持采用Webservice方式，通过集</w:t>
      </w:r>
      <w:bookmarkStart w:id="0" w:name="_GoBack"/>
      <w:bookmarkEnd w:id="0"/>
      <w:r>
        <w:rPr>
          <w:rFonts w:hint="eastAsia" w:ascii="仿宋" w:hAnsi="仿宋" w:eastAsia="仿宋" w:cs="仿宋"/>
          <w:b w:val="0"/>
          <w:bCs w:val="0"/>
          <w:color w:val="auto"/>
          <w:kern w:val="2"/>
          <w:sz w:val="24"/>
          <w:szCs w:val="24"/>
          <w:lang w:val="en-US" w:eastAsia="zh-CN" w:bidi="ar-SA"/>
        </w:rPr>
        <w:t xml:space="preserve">成平台进行数据交互，实现与医院集成平台、业务系统的无缝衔接。 </w:t>
      </w:r>
    </w:p>
    <w:p>
      <w:pPr>
        <w:ind w:firstLine="480" w:firstLineChars="200"/>
        <w:rPr>
          <w:rFonts w:hint="eastAsia" w:ascii="方正公文小标宋" w:hAnsi="方正公文小标宋" w:eastAsia="方正公文小标宋" w:cs="方正公文小标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5．支持历史数据抽取和实时数据的抽取，应保障不影响医院业务系统工作效率。 </w:t>
      </w:r>
    </w:p>
    <w:p>
      <w:pPr>
        <w:ind w:firstLine="480" w:firstLineChars="200"/>
        <w:rPr>
          <w:rFonts w:hint="eastAsia" w:ascii="方正公文黑体" w:hAnsi="方正公文黑体" w:eastAsia="方正公文黑体" w:cs="方正公文黑体"/>
          <w:b w:val="0"/>
          <w:bCs w:val="0"/>
          <w:color w:val="auto"/>
          <w:kern w:val="2"/>
          <w:sz w:val="24"/>
          <w:szCs w:val="24"/>
          <w:lang w:val="en-US" w:eastAsia="zh-CN" w:bidi="ar-SA"/>
        </w:rPr>
      </w:pPr>
      <w:r>
        <w:rPr>
          <w:rFonts w:hint="eastAsia" w:ascii="方正公文黑体" w:hAnsi="方正公文黑体" w:eastAsia="方正公文黑体" w:cs="方正公文黑体"/>
          <w:b/>
          <w:bCs/>
          <w:color w:val="auto"/>
          <w:kern w:val="2"/>
          <w:sz w:val="24"/>
          <w:szCs w:val="24"/>
          <w:lang w:val="en-US" w:eastAsia="zh-CN" w:bidi="ar-SA"/>
        </w:rPr>
        <w:t>六</w:t>
      </w:r>
      <w:r>
        <w:rPr>
          <w:rFonts w:hint="eastAsia" w:ascii="方正公文黑体" w:hAnsi="方正公文黑体" w:eastAsia="方正公文黑体" w:cs="方正公文黑体"/>
          <w:b w:val="0"/>
          <w:bCs w:val="0"/>
          <w:color w:val="auto"/>
          <w:kern w:val="2"/>
          <w:sz w:val="24"/>
          <w:szCs w:val="24"/>
          <w:lang w:val="en-US" w:eastAsia="zh-CN" w:bidi="ar-SA"/>
        </w:rPr>
        <w:t>、商务要求</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（一）项目实施质量保证</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1、投标人应为本项目设立专门的项目组。项目组人员应具备良好的沟通和协调能力，技术开发人员应熟练掌握产品功能、设置和开发技术。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2、项目组成员应到达实施现场，并负责项目的组织协调、需求调查分析、数据字典整理对照、系统安装调试、系统功能培训、现场实施等工作。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3、实施过程中，实施人员应能即时、充分提出系统实施、使用过程中的建议或可能存在的各类问题，并提供解决方案。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4、实施过程中，应严格执行相关的规范，并保证安全；供应商应根据医院使用科室的需要，在规定的时间内，保证质量，完成系统建设。</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5、供应商提供的书面技术资料应能满足确保系统正常运行所需的管理、运营及维护有关的全套文件。供应商提供的技术文件至少应包括：</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①.需求分析报告；</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②.系统产品手册；</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③.系统培训资料；</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④.用户使用操作手册；</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⑤.技术手册(安装、测试、维护、数据字典等)</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⑥.验收文档</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6、供应商需提供详尽、完善的实施应急保障制度，保障项目顺利实施。</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（二）、培训要求</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1、供应商应根据项目实施的计划、进度和需要，及时对相关科室人员进行培训，使其基本掌握应用系统的目标和功能，能够独立完成其操作。</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2、培训次数和课时数要根据医院参加培训人数、培训效果确定，如培训后未完全掌握讲授知识，供应商应再次提供培训，直到培训对象完全掌握并能熟练操作。</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3、培训需求和计划</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培训需求为医院相关科室使用人员，培训内容涉及采购清单中所有系统模块的功能、操作及系统技术管理等。具体的培训需求和计划如下：</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培训方式:培训方式可以采用集中培训、现场培训、远程培训、视频培训等；培训课程包含系统产品培训，业务操作培训，答疑培训等。</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①业务培训：讲述所有系统功能模块的基本原理及业务处理流程、系统实施方法论、实施成功案例、系统结构、系统管理思想等。</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②系统功能培训：以系统操作人员为对象，对系统各项功能及操作进行培训。本项培训主要针对各应用系统使用人员中的骨干，要求其在完成培训后能熟练掌握本应用系统及管理系统的操作、使用方法，进而在工作过程中对其他使用人员进行再培训。</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③系统管理员培训：对系统管理员进行日常维护培训，确保系统的正常运转。</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4、实施人员应提供对系统管理人员、临床使用人员及相关管理科室使用人员等各类人员的多层次培训。并在系统上线之初亲临现场进行使用指导，保证用户在较短时间掌握系统使用方法。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5、投标人应提供详尽培训内容并制定培训计划建议书，并提供系统安装、管理员、普通用户等各类操作说明手册。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（二）售后服务要求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1．质保期内提供免费售后维护服务，质保期从验收后开始计算，硬件设备质保不低于5年，软件维护质保不低于3年。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2．质保期内，需提供每年不低于3次的培训。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3．质保期内，若系统版本更新，需提供实时程序更新及维护。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4．质保期内，投标人需免费提供系统的大小版本升级、优化、补丁等技术支持。投标人应保证采购人使用的系统版本始终是最新的。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5．质保期内，对发现的系统安全漏洞、风险（包括操作系统、中间件、数据库等基础运行环境），及时免费进行升级修复。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6．合同履行及质保期内，投标人应积极配合与第三方系统进行数据对接，承诺所有新增接口开发完成。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7．在质保期内如遇政策性变化需要修改系统，投标人须按要求修改系统。</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8．软件正常生命周期内，因系统本身问题或缺陷导致的扩容或其他硬件设备的升级、新增、维修等费用由投标人承担。 </w:t>
      </w:r>
    </w:p>
    <w:p>
      <w:pPr>
        <w:ind w:firstLine="480" w:firstLineChars="200"/>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9．投标人应积极配合采购人参加各项评级评审工作，必要时需配备相关专家资源。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51F55EA0-A41D-4FDC-A13A-1580E827F0D5}"/>
  </w:font>
  <w:font w:name="方正公文黑体">
    <w:panose1 w:val="02000500000000000000"/>
    <w:charset w:val="86"/>
    <w:family w:val="auto"/>
    <w:pitch w:val="default"/>
    <w:sig w:usb0="A00002BF" w:usb1="38CF7CFA" w:usb2="00000016" w:usb3="00000000" w:csb0="00040001" w:csb1="00000000"/>
    <w:embedRegular r:id="rId2" w:fontKey="{2DFEE986-8454-4B9B-B212-64E049A67B82}"/>
  </w:font>
  <w:font w:name="仿宋">
    <w:panose1 w:val="02010609060101010101"/>
    <w:charset w:val="86"/>
    <w:family w:val="auto"/>
    <w:pitch w:val="default"/>
    <w:sig w:usb0="800002BF" w:usb1="38CF7CFA" w:usb2="00000016" w:usb3="00000000" w:csb0="00040001" w:csb1="00000000"/>
    <w:embedRegular r:id="rId3" w:fontKey="{62AB5034-5A29-442B-831B-C42B852947A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4AE18"/>
    <w:multiLevelType w:val="singleLevel"/>
    <w:tmpl w:val="EB64AE1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mQwNDZiYjkwNWU5MTU4ZWY3MzhjMDhiNTAyYzAifQ=="/>
  </w:docVars>
  <w:rsids>
    <w:rsidRoot w:val="43A63CED"/>
    <w:rsid w:val="02A43050"/>
    <w:rsid w:val="04E85352"/>
    <w:rsid w:val="084762C4"/>
    <w:rsid w:val="09862E1C"/>
    <w:rsid w:val="0B6B4077"/>
    <w:rsid w:val="0CD22843"/>
    <w:rsid w:val="0D2041F6"/>
    <w:rsid w:val="0F323C28"/>
    <w:rsid w:val="0F7F19AA"/>
    <w:rsid w:val="12183726"/>
    <w:rsid w:val="145E00B3"/>
    <w:rsid w:val="1546345F"/>
    <w:rsid w:val="17C36FE9"/>
    <w:rsid w:val="17FD699F"/>
    <w:rsid w:val="193C17C5"/>
    <w:rsid w:val="197849AA"/>
    <w:rsid w:val="1C550B58"/>
    <w:rsid w:val="1DC37D43"/>
    <w:rsid w:val="21C33CC9"/>
    <w:rsid w:val="230751DE"/>
    <w:rsid w:val="26A34BB6"/>
    <w:rsid w:val="285B0625"/>
    <w:rsid w:val="2B085133"/>
    <w:rsid w:val="2B715282"/>
    <w:rsid w:val="2E8E2147"/>
    <w:rsid w:val="30D90521"/>
    <w:rsid w:val="335257AD"/>
    <w:rsid w:val="34190265"/>
    <w:rsid w:val="348D5F2C"/>
    <w:rsid w:val="353327D7"/>
    <w:rsid w:val="35F475EF"/>
    <w:rsid w:val="36193C1A"/>
    <w:rsid w:val="36781175"/>
    <w:rsid w:val="385775AE"/>
    <w:rsid w:val="3B43186C"/>
    <w:rsid w:val="3E3671A0"/>
    <w:rsid w:val="402573E3"/>
    <w:rsid w:val="409A576D"/>
    <w:rsid w:val="41B636AC"/>
    <w:rsid w:val="42F637F7"/>
    <w:rsid w:val="43054AC7"/>
    <w:rsid w:val="4376774B"/>
    <w:rsid w:val="43A63CED"/>
    <w:rsid w:val="43FC2BA1"/>
    <w:rsid w:val="45940370"/>
    <w:rsid w:val="45941E41"/>
    <w:rsid w:val="494C6B32"/>
    <w:rsid w:val="4C235470"/>
    <w:rsid w:val="4C617D74"/>
    <w:rsid w:val="50962F12"/>
    <w:rsid w:val="52DD1D24"/>
    <w:rsid w:val="56E21C0C"/>
    <w:rsid w:val="5B7C1637"/>
    <w:rsid w:val="5B7C721B"/>
    <w:rsid w:val="5BFC0F56"/>
    <w:rsid w:val="5CA21F50"/>
    <w:rsid w:val="5EFB6F37"/>
    <w:rsid w:val="60234096"/>
    <w:rsid w:val="6083374F"/>
    <w:rsid w:val="623665CD"/>
    <w:rsid w:val="67656D42"/>
    <w:rsid w:val="67A5501F"/>
    <w:rsid w:val="6DAF419E"/>
    <w:rsid w:val="70D94A29"/>
    <w:rsid w:val="725E2D0C"/>
    <w:rsid w:val="72E41463"/>
    <w:rsid w:val="731C73CE"/>
    <w:rsid w:val="73A62BBC"/>
    <w:rsid w:val="79F2751F"/>
    <w:rsid w:val="7B6E5C47"/>
    <w:rsid w:val="7C3755ED"/>
    <w:rsid w:val="7C983DE1"/>
    <w:rsid w:val="7CF9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4">
    <w:name w:val="Body Text"/>
    <w:basedOn w:val="1"/>
    <w:unhideWhenUsed/>
    <w:qFormat/>
    <w:uiPriority w:val="99"/>
    <w:pPr>
      <w:spacing w:after="120"/>
    </w:pPr>
  </w:style>
  <w:style w:type="paragraph" w:styleId="5">
    <w:name w:val="Body Text Indent"/>
    <w:basedOn w:val="1"/>
    <w:next w:val="6"/>
    <w:qFormat/>
    <w:uiPriority w:val="0"/>
    <w:pPr>
      <w:spacing w:after="120" w:afterLines="0" w:afterAutospacing="0"/>
      <w:ind w:left="420" w:leftChars="200"/>
    </w:pPr>
  </w:style>
  <w:style w:type="paragraph" w:styleId="6">
    <w:name w:val="envelope return"/>
    <w:basedOn w:val="1"/>
    <w:unhideWhenUsed/>
    <w:qFormat/>
    <w:uiPriority w:val="99"/>
    <w:pPr>
      <w:snapToGrid w:val="0"/>
    </w:pPr>
    <w:rPr>
      <w:rFonts w:ascii="Arial" w:hAnsi="Arial"/>
    </w:rPr>
  </w:style>
  <w:style w:type="paragraph" w:styleId="7">
    <w:name w:val="Body Text Indent 2"/>
    <w:basedOn w:val="1"/>
    <w:qFormat/>
    <w:uiPriority w:val="0"/>
    <w:pPr>
      <w:ind w:firstLine="585"/>
    </w:pPr>
    <w:rPr>
      <w:rFonts w:ascii="宋体" w:eastAsia="宋体"/>
      <w:sz w:val="30"/>
      <w:szCs w:val="20"/>
    </w:rPr>
  </w:style>
  <w:style w:type="paragraph" w:styleId="8">
    <w:name w:val="toc 6"/>
    <w:basedOn w:val="1"/>
    <w:next w:val="1"/>
    <w:unhideWhenUsed/>
    <w:qFormat/>
    <w:uiPriority w:val="39"/>
    <w:pPr>
      <w:ind w:left="2100" w:leftChars="1000"/>
    </w:pPr>
    <w:rPr>
      <w:szCs w:val="22"/>
    </w:rPr>
  </w:style>
  <w:style w:type="paragraph" w:styleId="9">
    <w:name w:val="Body Text 2"/>
    <w:basedOn w:val="1"/>
    <w:unhideWhenUsed/>
    <w:qFormat/>
    <w:uiPriority w:val="99"/>
    <w:pPr>
      <w:spacing w:line="480" w:lineRule="auto"/>
    </w:pPr>
    <w:rPr>
      <w:rFonts w:ascii="Calibri" w:hAnsi="Calibri"/>
    </w:rPr>
  </w:style>
  <w:style w:type="paragraph" w:styleId="10">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1">
    <w:name w:val="Body Text First Indent"/>
    <w:basedOn w:val="4"/>
    <w:next w:val="8"/>
    <w:unhideWhenUsed/>
    <w:qFormat/>
    <w:uiPriority w:val="99"/>
    <w:pPr>
      <w:ind w:firstLine="420" w:firstLineChars="100"/>
    </w:pPr>
  </w:style>
  <w:style w:type="paragraph" w:styleId="12">
    <w:name w:val="Body Text First Indent 2"/>
    <w:basedOn w:val="5"/>
    <w:next w:val="1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BodyText"/>
    <w:basedOn w:val="1"/>
    <w:next w:val="1"/>
    <w:qFormat/>
    <w:uiPriority w:val="0"/>
    <w:pPr>
      <w:spacing w:after="120"/>
    </w:pPr>
  </w:style>
  <w:style w:type="paragraph" w:styleId="18">
    <w:name w:val="List Paragraph"/>
    <w:basedOn w:val="1"/>
    <w:unhideWhenUsed/>
    <w:qFormat/>
    <w:uiPriority w:val="99"/>
    <w:pPr>
      <w:ind w:firstLine="420" w:firstLineChars="200"/>
    </w:pPr>
  </w:style>
  <w:style w:type="paragraph" w:customStyle="1" w:styleId="19">
    <w:name w:val="正文_0"/>
    <w:qFormat/>
    <w:uiPriority w:val="0"/>
    <w:pPr>
      <w:widowControl w:val="0"/>
      <w:jc w:val="both"/>
    </w:pPr>
    <w:rPr>
      <w:rFonts w:ascii="Times New Roman" w:hAnsi="Times New Roman" w:eastAsia="宋体" w:cs="Times New Roman"/>
      <w:szCs w:val="24"/>
      <w:lang w:val="en-US" w:eastAsia="zh-CN" w:bidi="ar-SA"/>
    </w:rPr>
  </w:style>
  <w:style w:type="character" w:customStyle="1" w:styleId="20">
    <w:name w:val="font51"/>
    <w:basedOn w:val="15"/>
    <w:qFormat/>
    <w:uiPriority w:val="0"/>
    <w:rPr>
      <w:rFonts w:hint="default" w:ascii="Times New Roman" w:hAnsi="Times New Roman" w:cs="Times New Roman"/>
      <w:color w:val="000000"/>
      <w:sz w:val="22"/>
      <w:szCs w:val="22"/>
      <w:u w:val="none"/>
    </w:rPr>
  </w:style>
  <w:style w:type="character" w:customStyle="1" w:styleId="21">
    <w:name w:val="font4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3640</Words>
  <Characters>3690</Characters>
  <Lines>0</Lines>
  <Paragraphs>0</Paragraphs>
  <TotalTime>1</TotalTime>
  <ScaleCrop>false</ScaleCrop>
  <LinksUpToDate>false</LinksUpToDate>
  <CharactersWithSpaces>3736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有点帅气</cp:lastModifiedBy>
  <cp:lastPrinted>2025-11-07T02:29:00Z</cp:lastPrinted>
  <dcterms:modified xsi:type="dcterms:W3CDTF">2025-12-01T08:29:44Z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55FFDAD5D5964861B3C144D195158EAE_13</vt:lpwstr>
  </property>
  <property fmtid="{D5CDD505-2E9C-101B-9397-08002B2CF9AE}" pid="4" name="KSOTemplateDocerSaveRecord">
    <vt:lpwstr>eyJoZGlkIjoiOWQyZTAzYWRjYTk3YTQ1ZGJiM2E4OTYxMmYyZTkwZWMiLCJ1c2VySWQiOiIxNzAyOTQxNTc3In0=</vt:lpwstr>
  </property>
</Properties>
</file>