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A10EE">
      <w:pPr>
        <w:ind w:firstLine="482" w:firstLineChars="1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成都市第五人民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医院</w:t>
      </w:r>
    </w:p>
    <w:p w14:paraId="5E8AF16A">
      <w:pPr>
        <w:ind w:firstLine="482" w:firstLineChars="150"/>
        <w:jc w:val="center"/>
        <w:rPr>
          <w:rFonts w:hint="default" w:ascii="Times New Roman" w:hAnsi="Times New Roman" w:eastAsia="宋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睡眠中心专病数据库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服务项目调研需求</w:t>
      </w:r>
    </w:p>
    <w:p w14:paraId="40113D47">
      <w:pPr>
        <w:numPr>
          <w:ilvl w:val="0"/>
          <w:numId w:val="1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总体目标</w:t>
      </w:r>
      <w:bookmarkStart w:id="0" w:name="_GoBack"/>
      <w:bookmarkEnd w:id="0"/>
    </w:p>
    <w:p w14:paraId="55E8DA33"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建以中西医结合睡眠医学为特色、覆盖患者全生命周期的智能科研数据库，支撑睡眠障碍临床研究、教学培训与多中心协作，实现数据采集标准化、分析智能化、管理精细化，助力医院成为区域睡眠医学研究与转化高地。</w:t>
      </w:r>
    </w:p>
    <w:p w14:paraId="6A4A1E2A">
      <w:pPr>
        <w:numPr>
          <w:ilvl w:val="0"/>
          <w:numId w:val="1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功能模块</w:t>
      </w:r>
    </w:p>
    <w:p w14:paraId="52964ACF">
      <w:pPr>
        <w:numPr>
          <w:ilvl w:val="0"/>
          <w:numId w:val="2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智能研究设计与项目管理</w:t>
      </w:r>
    </w:p>
    <w:p w14:paraId="0A1DC5CB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中西医融合方案推荐：基于睡眠障碍诊疗指南及中医证候库（如肝郁化火、心肾不交等分型），智能推荐“西医评估+中医干预”复合研究方案，自动生成包含PSG监测、中医舌脉诊、针灸疗程等关键节点的研究流程图。</w:t>
      </w:r>
    </w:p>
    <w:p w14:paraId="12638FAD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提供可视化项目配置：支持拖拽式界面配置多阶段研究流程（如基线评估-干预-随访），内置中西医结合疗效评价模板（ISI量表联合中医证候积分），实时计算样本量需求与伦理审查要点。</w:t>
      </w:r>
    </w:p>
    <w:p w14:paraId="3093B528">
      <w:pPr>
        <w:numPr>
          <w:ilvl w:val="0"/>
          <w:numId w:val="2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CRF表单智能设计与数据采集</w:t>
      </w:r>
    </w:p>
    <w:p w14:paraId="4713D9AA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提供量表库智能匹配：集成国际睡眠量表（PSQI、ESS）、中医体质辨识量表及院内自研评估工具，根据研究类型（如失眠认知行为治疗 vs 中药方剂疗效）自动推荐量表组合，支持中医术语与西医诊断的标准化映射。</w:t>
      </w:r>
    </w:p>
    <w:p w14:paraId="3E4D9CBE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支持多终端数据录入：兼容PC端、移动App及物联网设备（如智能手环），支持中医四诊信息（舌象、脉象图片）结构化上传，自动关联中药处方与针灸穴位数据。</w:t>
      </w:r>
    </w:p>
    <w:p w14:paraId="2F97B266">
      <w:pPr>
        <w:numPr>
          <w:ilvl w:val="0"/>
          <w:numId w:val="2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全生命周期数据整合</w:t>
      </w:r>
    </w:p>
    <w:p w14:paraId="33F3DC21">
      <w:pPr>
        <w:ind w:firstLine="360" w:firstLineChars="15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支持“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诊前-诊中-诊后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全链条覆盖</w:t>
      </w:r>
    </w:p>
    <w:p w14:paraId="1E4D329E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诊前：支持采集患者健康数据，采集患者睡眠日志、中医体质自评及可穿戴设备监测数据（如夜间血氧、心率变异性）。</w:t>
      </w:r>
    </w:p>
    <w:p w14:paraId="37487FA2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诊中：整合中西医诊疗数据（含中药方剂组成、耳穴贴压记录）、多导睡眠图（PSG）原始报告。</w:t>
      </w:r>
    </w:p>
    <w:p w14:paraId="515F0F7D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诊后：自动化随访系统推送中医调养方案，跟踪长期疗效与复发情况，支持视频随访记录中医望诊动态变化。</w:t>
      </w:r>
    </w:p>
    <w:p w14:paraId="7C9E1F2B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多模态数据存储：结构化存储西医检验指标、中医证候评分，非结构化归档睡眠呼吸事件视频、针灸操作影像等，建立跨模态检索索引。</w:t>
      </w:r>
    </w:p>
    <w:p w14:paraId="67DB9C52">
      <w:pPr>
        <w:numPr>
          <w:ilvl w:val="0"/>
          <w:numId w:val="2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人工智能驱动的质量控制</w:t>
      </w:r>
    </w:p>
    <w:p w14:paraId="671C3DD3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智能逻辑核查：内置规则引擎检测数据矛盾（如“肝郁化火”证型患者同时报告“畏寒肢冷”症状时触发预警），结合NLP技术解析中医病历文本一致性。</w:t>
      </w:r>
    </w:p>
    <w:p w14:paraId="4EDCEDB7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稽查留痕与溯源：记录数据修改全流程，支持区块链存证关键操作（如生物样本出库、中医处方调整），确保符合GCP与中医药科研伦理要求。</w:t>
      </w:r>
    </w:p>
    <w:p w14:paraId="6FFE3890">
      <w:pPr>
        <w:numPr>
          <w:ilvl w:val="0"/>
          <w:numId w:val="2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生物样本全流程管理</w:t>
      </w:r>
    </w:p>
    <w:p w14:paraId="6668A4C1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睡眠特色样本库：定制化建模唾液褪黑素检测管、基因检测芯片等容器类型，关联临床表型（如失眠亚型）与中医证候标签，支持低温库存预警与样本销毁审批电子化。</w:t>
      </w:r>
    </w:p>
    <w:p w14:paraId="1CDEC041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中西医联合标记：样本标签集成西医诊断编码与中医证候代码（如TCM-ID体系），助力“基因-代谢-证候”跨组学研究。</w:t>
      </w:r>
    </w:p>
    <w:p w14:paraId="4387631E">
      <w:pPr>
        <w:numPr>
          <w:ilvl w:val="0"/>
          <w:numId w:val="2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多中心协作与权限控制</w:t>
      </w:r>
    </w:p>
    <w:p w14:paraId="06553168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中西医机构协同：为采购人等合作单位配置独立数据空间，实现中医辨证数据与西医评估结果的跨中心比对分析，权限分级管控至字段级（如隐藏患者身份信息但开放脱敏证候数据）。</w:t>
      </w:r>
    </w:p>
    <w:p w14:paraId="1CC02F9F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标准化数据交换：基于HL7 FHIR标准构建中西医数据共享接口，支持中医诊疗数据（如脉象波形）的标准化传输与语义互操作。</w:t>
      </w:r>
    </w:p>
    <w:p w14:paraId="708CE8AE">
      <w:pPr>
        <w:numPr>
          <w:ilvl w:val="0"/>
          <w:numId w:val="2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教学与科研转化支持</w:t>
      </w:r>
    </w:p>
    <w:p w14:paraId="73B0A17B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临床教学案例库：自动抽取典型病案（如难治性失眠中西医结合诊疗路径），生成3D交互式学习模块，集成虚拟针灸穴位定位与睡眠监测图谱解读教学工具。</w:t>
      </w:r>
    </w:p>
    <w:p w14:paraId="43C6C680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数据沙箱环境：为学生与科研人员提供脱敏数据集，内置中医数据挖掘工具包（如证候关联规则分析、方剂网络药理学模拟），加速研究生课题产出。</w:t>
      </w:r>
    </w:p>
    <w:p w14:paraId="503B6963">
      <w:pPr>
        <w:numPr>
          <w:ilvl w:val="0"/>
          <w:numId w:val="2"/>
        </w:numPr>
        <w:ind w:left="0" w:leftChars="0" w:firstLine="42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技术特色</w:t>
      </w:r>
    </w:p>
    <w:p w14:paraId="3C4B5F55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开发“症候-生物标志物”关联模型，</w:t>
      </w:r>
      <w:r>
        <w:rPr>
          <w:rFonts w:hint="eastAsia" w:ascii="宋体" w:hAnsi="宋体" w:eastAsia="宋体" w:cs="宋体"/>
          <w:sz w:val="24"/>
          <w:szCs w:val="24"/>
        </w:rPr>
        <w:t>实现中医辨证与西医病理机制的跨维度分析。</w:t>
      </w:r>
    </w:p>
    <w:p w14:paraId="025F8748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保护各中心数据主权前提下，联合训练睡眠疗效预测模型（兼容中医干预变量）。</w:t>
      </w:r>
    </w:p>
    <w:p w14:paraId="6FFE9507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建立“失眠-证候-中药-靶点”多维知识网络，支撑智能研究方案推荐与复方优化建议。</w:t>
      </w:r>
    </w:p>
    <w:p w14:paraId="5D3B3D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6A2A92-0B50-4ABE-A882-D602752F9B84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76A41E4-5CC5-4B02-B530-F04CAAC4186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D6FBB"/>
    <w:multiLevelType w:val="singleLevel"/>
    <w:tmpl w:val="A6CD6FB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BBAE1FA"/>
    <w:multiLevelType w:val="singleLevel"/>
    <w:tmpl w:val="ABBAE1F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AFE3C076"/>
    <w:multiLevelType w:val="singleLevel"/>
    <w:tmpl w:val="AFE3C07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244104C"/>
    <w:rsid w:val="145E00B3"/>
    <w:rsid w:val="1C550B58"/>
    <w:rsid w:val="1D8603A1"/>
    <w:rsid w:val="21C33CC9"/>
    <w:rsid w:val="230751DE"/>
    <w:rsid w:val="285B0625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94C6B32"/>
    <w:rsid w:val="4C617D74"/>
    <w:rsid w:val="4F483FB7"/>
    <w:rsid w:val="500D6A9E"/>
    <w:rsid w:val="50962F12"/>
    <w:rsid w:val="56E21C0C"/>
    <w:rsid w:val="5B7C721B"/>
    <w:rsid w:val="5CA21F50"/>
    <w:rsid w:val="6083374F"/>
    <w:rsid w:val="67A5501F"/>
    <w:rsid w:val="6DAF419E"/>
    <w:rsid w:val="731C73CE"/>
    <w:rsid w:val="74197352"/>
    <w:rsid w:val="79F2751F"/>
    <w:rsid w:val="7C3755ED"/>
    <w:rsid w:val="7CF90201"/>
    <w:rsid w:val="7F6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40" w:lineRule="exact"/>
      <w:ind w:left="300" w:leftChars="300"/>
      <w:outlineLvl w:val="1"/>
    </w:pPr>
    <w:rPr>
      <w:rFonts w:ascii="仿宋" w:hAnsi="Cambria" w:eastAsia="仿宋" w:cs="Times New Roman"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8">
    <w:name w:val="Body Text Indent"/>
    <w:basedOn w:val="1"/>
    <w:next w:val="9"/>
    <w:qFormat/>
    <w:uiPriority w:val="0"/>
    <w:pPr>
      <w:spacing w:after="120" w:afterLines="0" w:afterAutospacing="0"/>
      <w:ind w:left="420" w:leftChars="200"/>
    </w:pPr>
  </w:style>
  <w:style w:type="paragraph" w:styleId="9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11">
    <w:name w:val="toc 1"/>
    <w:basedOn w:val="1"/>
    <w:next w:val="1"/>
    <w:qFormat/>
    <w:uiPriority w:val="39"/>
    <w:pPr>
      <w:ind w:left="50" w:leftChars="50"/>
    </w:pPr>
    <w:rPr>
      <w:rFonts w:ascii="Calibri" w:hAnsi="Calibri"/>
      <w:kern w:val="0"/>
    </w:rPr>
  </w:style>
  <w:style w:type="paragraph" w:styleId="12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3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4">
    <w:name w:val="Body Text First Indent 2"/>
    <w:basedOn w:val="8"/>
    <w:next w:val="7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9">
    <w:name w:val="BodyText"/>
    <w:basedOn w:val="1"/>
    <w:next w:val="1"/>
    <w:qFormat/>
    <w:uiPriority w:val="0"/>
    <w:pPr>
      <w:spacing w:after="120"/>
    </w:p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2">
    <w:name w:val="正文1"/>
    <w:basedOn w:val="23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3">
    <w:name w:val="正文_1"/>
    <w:basedOn w:val="24"/>
    <w:qFormat/>
    <w:uiPriority w:val="0"/>
    <w:rPr>
      <w:rFonts w:cs="Calibri"/>
      <w:szCs w:val="21"/>
    </w:rPr>
  </w:style>
  <w:style w:type="paragraph" w:customStyle="1" w:styleId="24">
    <w:name w:val="正文_2"/>
    <w:basedOn w:val="25"/>
    <w:next w:val="31"/>
    <w:qFormat/>
    <w:uiPriority w:val="0"/>
  </w:style>
  <w:style w:type="paragraph" w:customStyle="1" w:styleId="25">
    <w:name w:val="正文_3"/>
    <w:next w:val="2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正文文本_1"/>
    <w:basedOn w:val="27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27">
    <w:name w:val="正文_2_0"/>
    <w:basedOn w:val="28"/>
    <w:next w:val="26"/>
    <w:qFormat/>
    <w:uiPriority w:val="0"/>
    <w:rPr>
      <w:rFonts w:ascii="Calibri" w:hAnsi="Calibri"/>
      <w:sz w:val="21"/>
      <w:lang w:eastAsia="zh-CN"/>
    </w:rPr>
  </w:style>
  <w:style w:type="paragraph" w:customStyle="1" w:styleId="28">
    <w:name w:val="正文_3_0"/>
    <w:basedOn w:val="29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29">
    <w:name w:val="正文_4_0"/>
    <w:basedOn w:val="30"/>
    <w:qFormat/>
    <w:uiPriority w:val="0"/>
  </w:style>
  <w:style w:type="paragraph" w:customStyle="1" w:styleId="30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无间隔1"/>
    <w:basedOn w:val="1"/>
    <w:next w:val="32"/>
    <w:qFormat/>
    <w:uiPriority w:val="1"/>
  </w:style>
  <w:style w:type="paragraph" w:customStyle="1" w:styleId="32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1938</Words>
  <Characters>1988</Characters>
  <Lines>0</Lines>
  <Paragraphs>0</Paragraphs>
  <TotalTime>0</TotalTime>
  <ScaleCrop>false</ScaleCrop>
  <LinksUpToDate>false</LinksUpToDate>
  <CharactersWithSpaces>1989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2025-12-17T08:18:25Z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