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864AD">
      <w:pPr>
        <w:jc w:val="center"/>
        <w:rPr>
          <w:rFonts w:hint="eastAsia" w:ascii="黑体" w:hAnsi="黑体" w:eastAsia="黑体" w:cs="黑体"/>
          <w:b/>
          <w:bCs w:val="0"/>
          <w:sz w:val="30"/>
          <w:szCs w:val="30"/>
        </w:rPr>
      </w:pPr>
      <w:r>
        <w:rPr>
          <w:rFonts w:hint="eastAsia" w:ascii="黑体" w:hAnsi="黑体" w:eastAsia="黑体" w:cs="黑体"/>
          <w:b/>
          <w:bCs w:val="0"/>
          <w:sz w:val="30"/>
          <w:szCs w:val="30"/>
        </w:rPr>
        <w:t>退伍军人优待功能</w:t>
      </w:r>
      <w:r>
        <w:rPr>
          <w:rFonts w:hint="eastAsia" w:ascii="黑体" w:hAnsi="黑体" w:eastAsia="黑体" w:cs="黑体"/>
          <w:b/>
          <w:bCs w:val="0"/>
          <w:sz w:val="30"/>
          <w:szCs w:val="30"/>
          <w:lang w:val="en-US" w:eastAsia="zh-CN"/>
        </w:rPr>
        <w:t>开发服务项目采购</w:t>
      </w:r>
      <w:r>
        <w:rPr>
          <w:rFonts w:hint="eastAsia" w:ascii="黑体" w:hAnsi="黑体" w:eastAsia="黑体" w:cs="黑体"/>
          <w:b/>
          <w:bCs w:val="0"/>
          <w:sz w:val="30"/>
          <w:szCs w:val="30"/>
        </w:rPr>
        <w:t>需求</w:t>
      </w:r>
    </w:p>
    <w:p w14:paraId="2216C1C0"/>
    <w:p w14:paraId="1210554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项目背景</w:t>
      </w:r>
    </w:p>
    <w:p w14:paraId="0B5B09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eastAsia="宋体"/>
          <w:lang w:val="en-US" w:eastAsia="zh-CN"/>
        </w:rPr>
      </w:pPr>
      <w:r>
        <w:rPr>
          <w:rFonts w:hint="eastAsia" w:ascii="宋体" w:hAnsi="宋体" w:eastAsia="宋体" w:cs="宋体"/>
          <w:sz w:val="24"/>
          <w:szCs w:val="24"/>
          <w:lang w:val="en-US" w:eastAsia="zh-CN"/>
        </w:rPr>
        <w:t>为积极响应国家及区域退役军人优待政策，切实保障温江区2万余名退役军人的就医权益，同时提升我院对退役军人的服务质效与规范化管理水平。据悉，温江区人民医院自今年7月起已正式启动退役军人专项接诊服务，月均接待量达 3000人次；作为区域医疗服务核心力量，我院需同步完善专项服务能力，主动承接这一稳定就诊需求，所以需要医院执行政策文件、按政策要求改造信息系统。</w:t>
      </w:r>
    </w:p>
    <w:p w14:paraId="76DB1089">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技术要求：</w:t>
      </w:r>
    </w:p>
    <w:p w14:paraId="7C889082">
      <w:pPr>
        <w:pStyle w:val="5"/>
        <w:keepNext w:val="0"/>
        <w:keepLines w:val="0"/>
        <w:pageBreakBefore w:val="0"/>
        <w:widowControl w:val="0"/>
        <w:numPr>
          <w:ilvl w:val="0"/>
          <w:numId w:val="2"/>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挂号优待与费用减免：支持线上（医院微信服务号）、线下窗口、自助机多渠道办理，退役军人可通过上述任一渠道享受专属挂号优待及相关费用减免政策，实现便捷化申请与兑现，具体减免金额按医院实际情况而定。</w:t>
      </w:r>
    </w:p>
    <w:p w14:paraId="14B70887">
      <w:pPr>
        <w:pStyle w:val="5"/>
        <w:keepNext w:val="0"/>
        <w:keepLines w:val="0"/>
        <w:pageBreakBefore w:val="0"/>
        <w:widowControl w:val="0"/>
        <w:numPr>
          <w:ilvl w:val="0"/>
          <w:numId w:val="2"/>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就诊优先：门诊就诊优先。</w:t>
      </w:r>
    </w:p>
    <w:p w14:paraId="6A4562D0">
      <w:pPr>
        <w:pStyle w:val="5"/>
        <w:keepNext w:val="0"/>
        <w:keepLines w:val="0"/>
        <w:pageBreakBefore w:val="0"/>
        <w:widowControl w:val="0"/>
        <w:numPr>
          <w:ilvl w:val="0"/>
          <w:numId w:val="2"/>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次报销即时结算（线下场景）：适用于门诊、住院结算环节，具体流程为：先完成普通医保常规结算，再通过对接退役军人优待政策专属接口，即时按政策标准计算并兑现二次报销金额。例如：普通医保结算后患者需补付500元，经二次报销接口核算，若该500元符合优待报销条件，则由医院先行垫付，患者无需额外补款；后续医院按退役军人服务中心规定流程完成对账，申请资金拨付。</w:t>
      </w:r>
    </w:p>
    <w:p w14:paraId="63F0C53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服务要求</w:t>
      </w:r>
    </w:p>
    <w:p w14:paraId="67C0E6EF">
      <w:pPr>
        <w:pStyle w:val="5"/>
        <w:keepNext w:val="0"/>
        <w:keepLines w:val="0"/>
        <w:pageBreakBefore w:val="0"/>
        <w:widowControl w:val="0"/>
        <w:numPr>
          <w:ilvl w:val="0"/>
          <w:numId w:val="3"/>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在实施及服务期内，安排具备相关项目经验的专业工程师提供对接服务。如：提供 7×24 小时技术支持、定期上门巡检服务、电话技术支持、紧急上门服务等。</w:t>
      </w:r>
    </w:p>
    <w:p w14:paraId="2F8EC750">
      <w:pPr>
        <w:pStyle w:val="5"/>
        <w:keepNext w:val="0"/>
        <w:keepLines w:val="0"/>
        <w:pageBreakBefore w:val="0"/>
        <w:widowControl w:val="0"/>
        <w:numPr>
          <w:ilvl w:val="0"/>
          <w:numId w:val="3"/>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当接口程序发生故障时，服务商应在接到通知后 30 分钟内响应并派员解决问题。如我院急需，能在8 小时内赶到故障现场处理。</w:t>
      </w:r>
    </w:p>
    <w:p w14:paraId="4331CED4">
      <w:pPr>
        <w:pStyle w:val="5"/>
        <w:keepNext w:val="0"/>
        <w:keepLines w:val="0"/>
        <w:pageBreakBefore w:val="0"/>
        <w:widowControl w:val="0"/>
        <w:numPr>
          <w:ilvl w:val="0"/>
          <w:numId w:val="3"/>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服务商</w:t>
      </w:r>
      <w:r>
        <w:rPr>
          <w:rFonts w:hint="default" w:ascii="宋体" w:hAnsi="宋体" w:eastAsia="宋体" w:cs="宋体"/>
          <w:sz w:val="24"/>
          <w:szCs w:val="24"/>
          <w:lang w:val="en-US" w:eastAsia="zh-CN"/>
        </w:rPr>
        <w:t xml:space="preserve">项目组成员，负责项目的组织协调、需求调查分析、数据字典整理对照、系统安装调试、系统功能培训、现场实施等工作。 </w:t>
      </w:r>
    </w:p>
    <w:p w14:paraId="24FCAFA6">
      <w:pPr>
        <w:pStyle w:val="5"/>
        <w:keepNext w:val="0"/>
        <w:keepLines w:val="0"/>
        <w:pageBreakBefore w:val="0"/>
        <w:widowControl w:val="0"/>
        <w:numPr>
          <w:ilvl w:val="0"/>
          <w:numId w:val="3"/>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实施过程中，实施人员应能及时、充分提出系统实施、使用过程中的建议和可能存在的各类问题，并提供解决方案。 </w:t>
      </w:r>
    </w:p>
    <w:p w14:paraId="61557011">
      <w:pPr>
        <w:pStyle w:val="5"/>
        <w:keepNext w:val="0"/>
        <w:keepLines w:val="0"/>
        <w:pageBreakBefore w:val="0"/>
        <w:widowControl w:val="0"/>
        <w:numPr>
          <w:ilvl w:val="0"/>
          <w:numId w:val="3"/>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实施过程中，应严格执行相关的规范，并保证安全；供应商应根据医院使用科室的需要，在规定的时间内，保证质量，完成系统建设。</w:t>
      </w:r>
    </w:p>
    <w:p w14:paraId="3077F560">
      <w:pPr>
        <w:pStyle w:val="5"/>
        <w:keepNext w:val="0"/>
        <w:keepLines w:val="0"/>
        <w:pageBreakBefore w:val="0"/>
        <w:widowControl w:val="0"/>
        <w:numPr>
          <w:ilvl w:val="0"/>
          <w:numId w:val="3"/>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供应商提供的书面技术资料应能满足确保系统正常运行所需的管理、运营及维护有关的全套文件。供应商提供的技术文件至少应包括：需求分析报告</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系统产品手册</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培训资料</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系统技术维护手册(安装、测试、维护、数据字典等)</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验收文档</w:t>
      </w:r>
      <w:r>
        <w:rPr>
          <w:rFonts w:hint="eastAsia" w:ascii="宋体" w:hAnsi="宋体" w:eastAsia="宋体" w:cs="宋体"/>
          <w:sz w:val="24"/>
          <w:szCs w:val="24"/>
          <w:lang w:val="en-US" w:eastAsia="zh-CN"/>
        </w:rPr>
        <w:t>。</w:t>
      </w:r>
    </w:p>
    <w:p w14:paraId="3AE3DB0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
          <w:sz w:val="28"/>
          <w:szCs w:val="28"/>
        </w:rPr>
      </w:pPr>
      <w:bookmarkStart w:id="0" w:name="_GoBack"/>
      <w:bookmarkEnd w:id="0"/>
    </w:p>
    <w:p w14:paraId="484A9EA9">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02936"/>
    <w:multiLevelType w:val="singleLevel"/>
    <w:tmpl w:val="E5802936"/>
    <w:lvl w:ilvl="0" w:tentative="0">
      <w:start w:val="1"/>
      <w:numFmt w:val="decimal"/>
      <w:suff w:val="nothing"/>
      <w:lvlText w:val="%1．"/>
      <w:lvlJc w:val="left"/>
      <w:pPr>
        <w:ind w:left="0" w:firstLine="400"/>
      </w:pPr>
      <w:rPr>
        <w:rFonts w:hint="default"/>
      </w:rPr>
    </w:lvl>
  </w:abstractNum>
  <w:abstractNum w:abstractNumId="1">
    <w:nsid w:val="49CD9251"/>
    <w:multiLevelType w:val="singleLevel"/>
    <w:tmpl w:val="49CD9251"/>
    <w:lvl w:ilvl="0" w:tentative="0">
      <w:start w:val="1"/>
      <w:numFmt w:val="decimal"/>
      <w:suff w:val="nothing"/>
      <w:lvlText w:val="%1．"/>
      <w:lvlJc w:val="left"/>
      <w:pPr>
        <w:ind w:left="0" w:firstLine="400"/>
      </w:pPr>
      <w:rPr>
        <w:rFonts w:hint="default"/>
      </w:rPr>
    </w:lvl>
  </w:abstractNum>
  <w:abstractNum w:abstractNumId="2">
    <w:nsid w:val="4E801791"/>
    <w:multiLevelType w:val="singleLevel"/>
    <w:tmpl w:val="4E80179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D2041F6"/>
    <w:rsid w:val="12183726"/>
    <w:rsid w:val="1244104C"/>
    <w:rsid w:val="145E00B3"/>
    <w:rsid w:val="1B4233DB"/>
    <w:rsid w:val="1C550B58"/>
    <w:rsid w:val="1D8603A1"/>
    <w:rsid w:val="21C33CC9"/>
    <w:rsid w:val="230751DE"/>
    <w:rsid w:val="285B0625"/>
    <w:rsid w:val="30D90521"/>
    <w:rsid w:val="335257AD"/>
    <w:rsid w:val="348D5F2C"/>
    <w:rsid w:val="35F475EF"/>
    <w:rsid w:val="36193C1A"/>
    <w:rsid w:val="36781175"/>
    <w:rsid w:val="409A576D"/>
    <w:rsid w:val="41B636AC"/>
    <w:rsid w:val="42F637F7"/>
    <w:rsid w:val="43054AC7"/>
    <w:rsid w:val="4376774B"/>
    <w:rsid w:val="43A63CED"/>
    <w:rsid w:val="494C6B32"/>
    <w:rsid w:val="4C617D74"/>
    <w:rsid w:val="500D6A9E"/>
    <w:rsid w:val="50962F12"/>
    <w:rsid w:val="56E21C0C"/>
    <w:rsid w:val="5B7C721B"/>
    <w:rsid w:val="5CA21F50"/>
    <w:rsid w:val="6083374F"/>
    <w:rsid w:val="67A5501F"/>
    <w:rsid w:val="6DAF419E"/>
    <w:rsid w:val="731C73CE"/>
    <w:rsid w:val="74197352"/>
    <w:rsid w:val="79F2751F"/>
    <w:rsid w:val="7C3755ED"/>
    <w:rsid w:val="7CF90201"/>
    <w:rsid w:val="7F6A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5">
    <w:name w:val="Body Text"/>
    <w:basedOn w:val="1"/>
    <w:next w:val="1"/>
    <w:unhideWhenUsed/>
    <w:qFormat/>
    <w:uiPriority w:val="99"/>
    <w:pPr>
      <w:spacing w:after="120"/>
    </w:pPr>
  </w:style>
  <w:style w:type="paragraph" w:styleId="6">
    <w:name w:val="Body Text Indent"/>
    <w:basedOn w:val="1"/>
    <w:next w:val="7"/>
    <w:qFormat/>
    <w:uiPriority w:val="0"/>
    <w:pPr>
      <w:spacing w:after="120" w:afterLines="0" w:afterAutospacing="0"/>
      <w:ind w:left="420" w:leftChars="200"/>
    </w:pPr>
  </w:style>
  <w:style w:type="paragraph" w:styleId="7">
    <w:name w:val="envelope return"/>
    <w:basedOn w:val="1"/>
    <w:unhideWhenUsed/>
    <w:qFormat/>
    <w:uiPriority w:val="99"/>
    <w:pPr>
      <w:snapToGrid w:val="0"/>
    </w:pPr>
    <w:rPr>
      <w:rFonts w:ascii="Arial" w:hAnsi="Arial"/>
    </w:rPr>
  </w:style>
  <w:style w:type="paragraph" w:styleId="8">
    <w:name w:val="Body Text Indent 2"/>
    <w:basedOn w:val="1"/>
    <w:qFormat/>
    <w:uiPriority w:val="0"/>
    <w:pPr>
      <w:ind w:firstLine="585"/>
    </w:pPr>
    <w:rPr>
      <w:rFonts w:ascii="宋体" w:eastAsia="宋体"/>
      <w:sz w:val="30"/>
      <w:szCs w:val="20"/>
    </w:rPr>
  </w:style>
  <w:style w:type="paragraph" w:styleId="9">
    <w:name w:val="toc 1"/>
    <w:basedOn w:val="1"/>
    <w:next w:val="1"/>
    <w:qFormat/>
    <w:uiPriority w:val="39"/>
    <w:pPr>
      <w:ind w:left="50" w:leftChars="50"/>
    </w:pPr>
    <w:rPr>
      <w:rFonts w:ascii="Calibri" w:hAnsi="Calibri"/>
      <w:kern w:val="0"/>
    </w:rPr>
  </w:style>
  <w:style w:type="paragraph" w:styleId="10">
    <w:name w:val="toc 6"/>
    <w:basedOn w:val="1"/>
    <w:next w:val="1"/>
    <w:unhideWhenUsed/>
    <w:qFormat/>
    <w:uiPriority w:val="39"/>
    <w:pPr>
      <w:ind w:left="2100" w:leftChars="1000"/>
    </w:pPr>
    <w:rPr>
      <w:szCs w:val="22"/>
    </w:rPr>
  </w:style>
  <w:style w:type="paragraph" w:styleId="11">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2">
    <w:name w:val="Body Text First Indent"/>
    <w:basedOn w:val="5"/>
    <w:unhideWhenUsed/>
    <w:qFormat/>
    <w:uiPriority w:val="99"/>
    <w:pPr>
      <w:ind w:firstLine="420" w:firstLineChars="100"/>
    </w:pPr>
  </w:style>
  <w:style w:type="paragraph" w:styleId="13">
    <w:name w:val="Body Text First Indent 2"/>
    <w:basedOn w:val="6"/>
    <w:next w:val="12"/>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BodyText"/>
    <w:basedOn w:val="1"/>
    <w:next w:val="1"/>
    <w:qFormat/>
    <w:uiPriority w:val="0"/>
    <w:pPr>
      <w:spacing w:after="120"/>
    </w:pPr>
  </w:style>
  <w:style w:type="paragraph" w:styleId="19">
    <w:name w:val="List Paragraph"/>
    <w:basedOn w:val="1"/>
    <w:unhideWhenUsed/>
    <w:qFormat/>
    <w:uiPriority w:val="99"/>
    <w:pPr>
      <w:ind w:firstLine="420" w:firstLineChars="200"/>
    </w:pPr>
  </w:style>
  <w:style w:type="paragraph" w:customStyle="1" w:styleId="20">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21">
    <w:name w:val="正文1"/>
    <w:basedOn w:val="22"/>
    <w:qFormat/>
    <w:uiPriority w:val="0"/>
    <w:pPr>
      <w:spacing w:line="318" w:lineRule="atLeast"/>
      <w:ind w:left="369" w:firstLine="369"/>
    </w:pPr>
    <w:rPr>
      <w:rFonts w:ascii="宋体"/>
    </w:rPr>
  </w:style>
  <w:style w:type="paragraph" w:customStyle="1" w:styleId="22">
    <w:name w:val="正文_1"/>
    <w:basedOn w:val="23"/>
    <w:qFormat/>
    <w:uiPriority w:val="0"/>
    <w:rPr>
      <w:rFonts w:cs="Calibri"/>
      <w:szCs w:val="21"/>
    </w:rPr>
  </w:style>
  <w:style w:type="paragraph" w:customStyle="1" w:styleId="23">
    <w:name w:val="正文_2"/>
    <w:basedOn w:val="24"/>
    <w:next w:val="30"/>
    <w:qFormat/>
    <w:uiPriority w:val="0"/>
  </w:style>
  <w:style w:type="paragraph" w:customStyle="1" w:styleId="24">
    <w:name w:val="正文_3"/>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_1"/>
    <w:basedOn w:val="26"/>
    <w:unhideWhenUsed/>
    <w:qFormat/>
    <w:uiPriority w:val="0"/>
    <w:pPr>
      <w:spacing w:after="120"/>
    </w:pPr>
    <w:rPr>
      <w:rFonts w:eastAsia="宋体" w:cs="Times New Roman"/>
    </w:rPr>
  </w:style>
  <w:style w:type="paragraph" w:customStyle="1" w:styleId="26">
    <w:name w:val="正文_2_0"/>
    <w:basedOn w:val="27"/>
    <w:next w:val="25"/>
    <w:qFormat/>
    <w:uiPriority w:val="0"/>
    <w:rPr>
      <w:rFonts w:ascii="Calibri" w:hAnsi="Calibri"/>
      <w:sz w:val="21"/>
      <w:lang w:eastAsia="zh-CN"/>
    </w:rPr>
  </w:style>
  <w:style w:type="paragraph" w:customStyle="1" w:styleId="27">
    <w:name w:val="正文_3_0"/>
    <w:basedOn w:val="28"/>
    <w:qFormat/>
    <w:uiPriority w:val="0"/>
    <w:pPr>
      <w:autoSpaceDE w:val="0"/>
      <w:autoSpaceDN w:val="0"/>
    </w:pPr>
    <w:rPr>
      <w:rFonts w:ascii="仿宋" w:hAnsi="仿宋" w:eastAsia="仿宋" w:cs="仿宋"/>
      <w:sz w:val="22"/>
      <w:lang w:eastAsia="en-US"/>
    </w:rPr>
  </w:style>
  <w:style w:type="paragraph" w:customStyle="1" w:styleId="28">
    <w:name w:val="正文_4_0"/>
    <w:basedOn w:val="29"/>
    <w:qFormat/>
    <w:uiPriority w:val="0"/>
  </w:style>
  <w:style w:type="paragraph" w:customStyle="1" w:styleId="2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无间隔1"/>
    <w:basedOn w:val="1"/>
    <w:next w:val="31"/>
    <w:qFormat/>
    <w:uiPriority w:val="1"/>
  </w:style>
  <w:style w:type="paragraph" w:customStyle="1" w:styleId="31">
    <w:name w:val="样式 标题 3 + (中文) 黑体 小四 非加粗 段前: 7.8 磅 段后: 0 磅 行距: 固定值 20 磅"/>
    <w:basedOn w:val="3"/>
    <w:qFormat/>
    <w:uiPriority w:val="0"/>
    <w:pPr>
      <w:spacing w:before="0" w:after="0" w:line="400" w:lineRule="exact"/>
    </w:pPr>
    <w:rPr>
      <w:rFonts w:ascii="Times New Roman" w:hAnsi="Times New Roman" w:eastAsia="黑体" w:cs="宋体"/>
      <w:b w:val="0"/>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1938</Words>
  <Characters>1988</Characters>
  <Lines>0</Lines>
  <Paragraphs>0</Paragraphs>
  <TotalTime>0</TotalTime>
  <ScaleCrop>false</ScaleCrop>
  <LinksUpToDate>false</LinksUpToDate>
  <CharactersWithSpaces>1989</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2026-01-05T03:12:58Z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55FFDAD5D5964861B3C144D195158EAE_13</vt:lpwstr>
  </property>
  <property fmtid="{D5CDD505-2E9C-101B-9397-08002B2CF9AE}" pid="4" name="KSOTemplateDocerSaveRecord">
    <vt:lpwstr>eyJoZGlkIjoiNDNmMGZiOTlkZWMzNjE0NjRjN2VmZGE2NzMyNzhhNGIiLCJ1c2VySWQiOiIxNjQ2MzQ3NDE5In0=</vt:lpwstr>
  </property>
</Properties>
</file>