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91BA5">
      <w:pPr>
        <w:spacing w:line="360" w:lineRule="auto"/>
        <w:ind w:firstLine="64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合理用药信息支持系统服务</w:t>
      </w:r>
      <w:r>
        <w:rPr>
          <w:rFonts w:hint="eastAsia" w:ascii="方正小标宋简体" w:hAnsi="方正小标宋简体" w:eastAsia="方正小标宋简体" w:cs="方正小标宋简体"/>
          <w:sz w:val="32"/>
          <w:szCs w:val="32"/>
          <w:lang w:val="en-US" w:eastAsia="zh-CN"/>
        </w:rPr>
        <w:t>市场调研</w:t>
      </w:r>
      <w:bookmarkStart w:id="1" w:name="_GoBack"/>
      <w:bookmarkEnd w:id="1"/>
      <w:r>
        <w:rPr>
          <w:rFonts w:hint="eastAsia" w:ascii="方正小标宋简体" w:hAnsi="方正小标宋简体" w:eastAsia="方正小标宋简体" w:cs="方正小标宋简体"/>
          <w:sz w:val="32"/>
          <w:szCs w:val="32"/>
        </w:rPr>
        <w:t>需求</w:t>
      </w:r>
    </w:p>
    <w:p w14:paraId="43F5EE49">
      <w:pPr>
        <w:numPr>
          <w:ilvl w:val="0"/>
          <w:numId w:val="2"/>
        </w:numPr>
        <w:spacing w:line="360" w:lineRule="auto"/>
        <w:rPr>
          <w:rFonts w:ascii="宋体" w:hAnsi="宋体" w:cs="宋体"/>
          <w:sz w:val="24"/>
        </w:rPr>
      </w:pPr>
      <w:r>
        <w:rPr>
          <w:rFonts w:hint="eastAsia" w:ascii="宋体" w:hAnsi="宋体" w:cs="宋体"/>
          <w:sz w:val="24"/>
        </w:rPr>
        <w:t>服务内容</w:t>
      </w:r>
    </w:p>
    <w:p w14:paraId="78F2AD2B">
      <w:pPr>
        <w:tabs>
          <w:tab w:val="left" w:pos="0"/>
        </w:tabs>
        <w:spacing w:line="360" w:lineRule="auto"/>
        <w:ind w:left="630" w:leftChars="200" w:hanging="210" w:hangingChars="100"/>
        <w:rPr>
          <w:rFonts w:ascii="宋体" w:hAnsi="宋体"/>
          <w:szCs w:val="21"/>
        </w:rPr>
      </w:pPr>
      <w:r>
        <w:rPr>
          <w:rFonts w:hint="eastAsia" w:ascii="宋体" w:hAnsi="宋体"/>
          <w:szCs w:val="21"/>
        </w:rPr>
        <w:t>服务商需为采购人提供以下技术服务：</w:t>
      </w:r>
    </w:p>
    <w:p w14:paraId="1DEA0318">
      <w:pPr>
        <w:pStyle w:val="23"/>
        <w:numPr>
          <w:ilvl w:val="0"/>
          <w:numId w:val="3"/>
        </w:numPr>
        <w:tabs>
          <w:tab w:val="left" w:pos="0"/>
        </w:tabs>
        <w:spacing w:line="360" w:lineRule="auto"/>
        <w:ind w:firstLineChars="0"/>
        <w:rPr>
          <w:rFonts w:hint="eastAsia" w:ascii="宋体" w:hAnsi="宋体"/>
          <w:szCs w:val="21"/>
        </w:rPr>
      </w:pPr>
      <w:r>
        <w:rPr>
          <w:rFonts w:hint="eastAsia" w:ascii="宋体" w:hAnsi="宋体"/>
          <w:szCs w:val="21"/>
        </w:rPr>
        <w:t>服务商为采购人提供合理用药信息支持系统的服务期限内的软件使用许可、系统技术服务以及十次/年的数据维护服务。</w:t>
      </w:r>
    </w:p>
    <w:p w14:paraId="76B76131">
      <w:pPr>
        <w:pStyle w:val="23"/>
        <w:numPr>
          <w:ilvl w:val="0"/>
          <w:numId w:val="3"/>
        </w:numPr>
        <w:tabs>
          <w:tab w:val="left" w:pos="0"/>
        </w:tabs>
        <w:spacing w:line="360" w:lineRule="auto"/>
        <w:ind w:firstLineChars="0"/>
        <w:rPr>
          <w:rFonts w:hint="eastAsia" w:ascii="宋体" w:hAnsi="宋体"/>
          <w:szCs w:val="21"/>
        </w:rPr>
      </w:pPr>
      <w:r>
        <w:rPr>
          <w:rFonts w:hint="eastAsia" w:ascii="宋体" w:hAnsi="宋体"/>
          <w:szCs w:val="21"/>
        </w:rPr>
        <w:t>提供远程技术服务。若采购人在合理用药信息支持系统使用过程中遇到问题，服务商将通过远程操作、电话或电子邮件的方式为采购人提供技术服务。</w:t>
      </w:r>
    </w:p>
    <w:p w14:paraId="4FCA5B14">
      <w:pPr>
        <w:pStyle w:val="23"/>
        <w:numPr>
          <w:ilvl w:val="0"/>
          <w:numId w:val="3"/>
        </w:numPr>
        <w:tabs>
          <w:tab w:val="left" w:pos="0"/>
        </w:tabs>
        <w:spacing w:line="360" w:lineRule="auto"/>
        <w:ind w:firstLineChars="0"/>
        <w:rPr>
          <w:rFonts w:hint="eastAsia" w:ascii="宋体" w:hAnsi="宋体"/>
          <w:szCs w:val="21"/>
        </w:rPr>
      </w:pPr>
      <w:r>
        <w:rPr>
          <w:rFonts w:hint="eastAsia" w:ascii="宋体" w:hAnsi="宋体"/>
          <w:szCs w:val="21"/>
        </w:rPr>
        <w:t>在合理用药信息支持系统使用过程中若遇系统自身故障问题且远程及电话、电子邮件无法解决时，服务商须为采购人提供现场技术服务，所产生的费用由乙方承担。</w:t>
      </w:r>
    </w:p>
    <w:p w14:paraId="7608E550">
      <w:pPr>
        <w:numPr>
          <w:ilvl w:val="0"/>
          <w:numId w:val="2"/>
        </w:numPr>
        <w:spacing w:line="360" w:lineRule="auto"/>
        <w:rPr>
          <w:rFonts w:hint="eastAsia" w:ascii="宋体" w:hAnsi="宋体" w:cs="宋体"/>
          <w:sz w:val="24"/>
        </w:rPr>
      </w:pPr>
      <w:r>
        <w:rPr>
          <w:rFonts w:hint="eastAsia" w:ascii="宋体" w:hAnsi="宋体" w:cs="宋体"/>
          <w:sz w:val="24"/>
        </w:rPr>
        <w:t>服务要求</w:t>
      </w:r>
    </w:p>
    <w:p w14:paraId="02F26441">
      <w:pPr>
        <w:numPr>
          <w:ilvl w:val="0"/>
          <w:numId w:val="4"/>
        </w:numPr>
        <w:tabs>
          <w:tab w:val="left" w:pos="0"/>
        </w:tabs>
        <w:spacing w:line="360" w:lineRule="auto"/>
        <w:rPr>
          <w:rFonts w:ascii="宋体" w:hAnsi="宋体"/>
          <w:szCs w:val="21"/>
        </w:rPr>
      </w:pPr>
      <w:r>
        <w:rPr>
          <w:rFonts w:ascii="宋体" w:hAnsi="宋体"/>
          <w:szCs w:val="21"/>
        </w:rPr>
        <w:t>提供远程服务：包含且不限于QQ远程、向日葵，在接到服务通知后响应时间小于</w:t>
      </w:r>
      <w:r>
        <w:rPr>
          <w:rFonts w:hint="eastAsia" w:ascii="宋体" w:hAnsi="宋体"/>
          <w:szCs w:val="21"/>
        </w:rPr>
        <w:t>30分钟</w:t>
      </w:r>
      <w:r>
        <w:rPr>
          <w:rFonts w:ascii="宋体" w:hAnsi="宋体"/>
          <w:szCs w:val="21"/>
        </w:rPr>
        <w:t>。</w:t>
      </w:r>
    </w:p>
    <w:p w14:paraId="476897F8">
      <w:pPr>
        <w:numPr>
          <w:ilvl w:val="0"/>
          <w:numId w:val="4"/>
        </w:numPr>
        <w:tabs>
          <w:tab w:val="left" w:pos="0"/>
        </w:tabs>
        <w:spacing w:line="360" w:lineRule="auto"/>
        <w:rPr>
          <w:rFonts w:ascii="宋体" w:hAnsi="宋体"/>
          <w:szCs w:val="21"/>
        </w:rPr>
      </w:pPr>
      <w:r>
        <w:rPr>
          <w:rFonts w:hint="eastAsia" w:ascii="宋体" w:hAnsi="宋体"/>
          <w:szCs w:val="21"/>
        </w:rPr>
        <w:t>提供</w:t>
      </w:r>
      <w:r>
        <w:rPr>
          <w:rFonts w:ascii="宋体" w:hAnsi="宋体"/>
          <w:szCs w:val="21"/>
        </w:rPr>
        <w:t>7*24小时远程技术响应服务</w:t>
      </w:r>
      <w:r>
        <w:rPr>
          <w:rFonts w:hint="eastAsia" w:ascii="宋体" w:hAnsi="宋体"/>
          <w:szCs w:val="21"/>
        </w:rPr>
        <w:t>，系统出现故障时，乙方在接到甲方通知后，可在24小时或双方约定的时间内指派专业人士</w:t>
      </w:r>
      <w:r>
        <w:rPr>
          <w:rFonts w:ascii="宋体" w:hAnsi="宋体"/>
          <w:szCs w:val="21"/>
        </w:rPr>
        <w:t>通过电话或远程等方式受理用户反馈的问题，根据故障现象，分析问题原因，做出初步判断后与</w:t>
      </w:r>
      <w:r>
        <w:rPr>
          <w:rFonts w:hint="eastAsia" w:ascii="宋体" w:hAnsi="宋体"/>
          <w:szCs w:val="21"/>
        </w:rPr>
        <w:t>甲方</w:t>
      </w:r>
      <w:r>
        <w:rPr>
          <w:rFonts w:ascii="宋体" w:hAnsi="宋体"/>
          <w:szCs w:val="21"/>
        </w:rPr>
        <w:t>协商确认问题解决时间。</w:t>
      </w:r>
    </w:p>
    <w:p w14:paraId="6540316C">
      <w:pPr>
        <w:tabs>
          <w:tab w:val="left" w:pos="0"/>
        </w:tabs>
        <w:spacing w:line="360" w:lineRule="auto"/>
        <w:ind w:left="630" w:leftChars="200" w:hanging="210" w:hangingChars="100"/>
        <w:rPr>
          <w:rFonts w:hint="eastAsia" w:ascii="宋体" w:hAnsi="宋体"/>
          <w:szCs w:val="21"/>
        </w:rPr>
      </w:pPr>
      <w:r>
        <w:rPr>
          <w:rFonts w:hint="eastAsia" w:ascii="宋体" w:hAnsi="宋体"/>
          <w:szCs w:val="21"/>
        </w:rPr>
        <w:t>（</w:t>
      </w:r>
      <w:r>
        <w:rPr>
          <w:rFonts w:ascii="宋体" w:hAnsi="宋体"/>
          <w:szCs w:val="21"/>
        </w:rPr>
        <w:t>1）电话技术支持、电子邮件技术支持响应时限小于</w:t>
      </w:r>
      <w:r>
        <w:rPr>
          <w:rFonts w:hint="eastAsia" w:ascii="宋体" w:hAnsi="宋体"/>
          <w:szCs w:val="21"/>
        </w:rPr>
        <w:t>30分钟；</w:t>
      </w:r>
    </w:p>
    <w:p w14:paraId="4E82A500">
      <w:pPr>
        <w:tabs>
          <w:tab w:val="left" w:pos="0"/>
        </w:tabs>
        <w:spacing w:line="360" w:lineRule="auto"/>
        <w:ind w:left="630" w:leftChars="200" w:hanging="210" w:hangingChars="100"/>
        <w:rPr>
          <w:rFonts w:ascii="宋体" w:hAnsi="宋体"/>
          <w:szCs w:val="21"/>
        </w:rPr>
      </w:pPr>
      <w:r>
        <w:rPr>
          <w:rFonts w:hint="eastAsia" w:ascii="宋体" w:hAnsi="宋体"/>
          <w:szCs w:val="21"/>
        </w:rPr>
        <w:t>（</w:t>
      </w:r>
      <w:r>
        <w:rPr>
          <w:rFonts w:ascii="宋体" w:hAnsi="宋体"/>
          <w:szCs w:val="21"/>
        </w:rPr>
        <w:t>2）网络远程技术支持响应时限小于2小时；</w:t>
      </w:r>
    </w:p>
    <w:p w14:paraId="67BA6F2A">
      <w:pPr>
        <w:tabs>
          <w:tab w:val="left" w:pos="0"/>
        </w:tabs>
        <w:spacing w:line="360" w:lineRule="auto"/>
        <w:ind w:left="630" w:leftChars="200" w:hanging="210" w:hangingChars="100"/>
        <w:rPr>
          <w:rFonts w:ascii="宋体" w:hAnsi="宋体"/>
          <w:szCs w:val="21"/>
        </w:rPr>
      </w:pPr>
      <w:r>
        <w:rPr>
          <w:rFonts w:hint="eastAsia" w:ascii="宋体" w:hAnsi="宋体"/>
          <w:szCs w:val="21"/>
        </w:rPr>
        <w:t>（</w:t>
      </w:r>
      <w:r>
        <w:rPr>
          <w:rFonts w:ascii="宋体" w:hAnsi="宋体"/>
          <w:szCs w:val="21"/>
        </w:rPr>
        <w:t>3）现场技术支持，响应时限小于24小时。</w:t>
      </w:r>
    </w:p>
    <w:p w14:paraId="703355CF">
      <w:pPr>
        <w:numPr>
          <w:ilvl w:val="0"/>
          <w:numId w:val="4"/>
        </w:numPr>
        <w:tabs>
          <w:tab w:val="left" w:pos="0"/>
        </w:tabs>
        <w:spacing w:line="360" w:lineRule="auto"/>
        <w:rPr>
          <w:rFonts w:hint="eastAsia" w:ascii="宋体" w:hAnsi="宋体"/>
          <w:szCs w:val="21"/>
        </w:rPr>
      </w:pPr>
      <w:r>
        <w:rPr>
          <w:rFonts w:hint="eastAsia" w:ascii="宋体" w:hAnsi="宋体"/>
          <w:szCs w:val="21"/>
        </w:rPr>
        <w:t>提供系统使用咨询：安排工程师回答医院临床科室操作的疑惑，解决使用中遇到的问题。</w:t>
      </w:r>
    </w:p>
    <w:p w14:paraId="6A6F503B">
      <w:pPr>
        <w:numPr>
          <w:ilvl w:val="0"/>
          <w:numId w:val="4"/>
        </w:numPr>
        <w:tabs>
          <w:tab w:val="left" w:pos="0"/>
        </w:tabs>
        <w:spacing w:line="360" w:lineRule="auto"/>
        <w:rPr>
          <w:rFonts w:hint="eastAsia" w:ascii="宋体" w:hAnsi="宋体"/>
          <w:szCs w:val="21"/>
        </w:rPr>
      </w:pPr>
      <w:r>
        <w:rPr>
          <w:rFonts w:hint="eastAsia" w:ascii="宋体" w:hAnsi="宋体"/>
          <w:szCs w:val="21"/>
        </w:rPr>
        <w:t>服务期内，提供每年不低于6次的售后电话回访服务。</w:t>
      </w:r>
    </w:p>
    <w:p w14:paraId="17D11827">
      <w:pPr>
        <w:numPr>
          <w:ilvl w:val="0"/>
          <w:numId w:val="4"/>
        </w:numPr>
        <w:tabs>
          <w:tab w:val="left" w:pos="0"/>
        </w:tabs>
        <w:spacing w:line="360" w:lineRule="auto"/>
        <w:rPr>
          <w:rFonts w:hint="eastAsia" w:ascii="宋体" w:hAnsi="宋体"/>
          <w:szCs w:val="21"/>
        </w:rPr>
      </w:pPr>
      <w:r>
        <w:rPr>
          <w:rFonts w:hint="eastAsia" w:ascii="宋体" w:hAnsi="宋体"/>
          <w:szCs w:val="21"/>
        </w:rPr>
        <w:t>服务期内，建立用户档案，跟踪采购人对系统的使用情况，并形成年度使用报告。</w:t>
      </w:r>
    </w:p>
    <w:p w14:paraId="770ECBA7">
      <w:pPr>
        <w:numPr>
          <w:ilvl w:val="0"/>
          <w:numId w:val="2"/>
        </w:numPr>
        <w:spacing w:line="360" w:lineRule="auto"/>
      </w:pPr>
      <w:r>
        <w:rPr>
          <w:rFonts w:hint="eastAsia" w:ascii="宋体" w:hAnsi="宋体" w:cs="宋体"/>
          <w:sz w:val="24"/>
        </w:rPr>
        <w:t>系统功能需求见下表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7165"/>
      </w:tblGrid>
      <w:tr w14:paraId="2016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22" w:type="dxa"/>
            <w:gridSpan w:val="2"/>
            <w:noWrap w:val="0"/>
            <w:vAlign w:val="center"/>
          </w:tcPr>
          <w:p w14:paraId="3C404580">
            <w:pPr>
              <w:pStyle w:val="2"/>
              <w:jc w:val="center"/>
              <w:rPr>
                <w:rFonts w:eastAsia="方正小标宋简体"/>
              </w:rPr>
            </w:pPr>
            <w:r>
              <w:rPr>
                <w:rFonts w:hint="eastAsia" w:ascii="宋体" w:hAnsi="宋体"/>
                <w:b w:val="0"/>
                <w:bCs w:val="0"/>
                <w:sz w:val="24"/>
              </w:rPr>
              <w:t>合理用药信息支持系统功能需求</w:t>
            </w:r>
          </w:p>
        </w:tc>
      </w:tr>
      <w:tr w14:paraId="6BE0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restart"/>
            <w:noWrap w:val="0"/>
            <w:vAlign w:val="center"/>
          </w:tcPr>
          <w:p w14:paraId="6B81F92E">
            <w:pPr>
              <w:pStyle w:val="2"/>
              <w:jc w:val="center"/>
            </w:pPr>
          </w:p>
        </w:tc>
        <w:tc>
          <w:tcPr>
            <w:tcW w:w="7165" w:type="dxa"/>
            <w:noWrap w:val="0"/>
            <w:vAlign w:val="top"/>
          </w:tcPr>
          <w:p w14:paraId="2B98252F">
            <w:pPr>
              <w:numPr>
                <w:ilvl w:val="1"/>
                <w:numId w:val="5"/>
              </w:numPr>
              <w:adjustRightInd w:val="0"/>
              <w:spacing w:line="288" w:lineRule="auto"/>
              <w:jc w:val="left"/>
              <w:rPr>
                <w:rFonts w:ascii="宋体" w:hAnsi="宋体"/>
                <w:szCs w:val="21"/>
              </w:rPr>
            </w:pPr>
            <w:r>
              <w:rPr>
                <w:rFonts w:hint="eastAsia" w:ascii="宋体" w:hAnsi="宋体"/>
                <w:szCs w:val="21"/>
              </w:rPr>
              <w:t>药品基本信息:</w:t>
            </w:r>
            <w:r>
              <w:rPr>
                <w:rFonts w:ascii="宋体" w:hAnsi="宋体"/>
                <w:szCs w:val="21"/>
              </w:rPr>
              <w:t xml:space="preserve"> 完整收录了国家药品监督管理局（NMPA）批准上市药品的基本信息，包括了药品的中英文通用名、商品名、剂型、规格、生产厂家、批准文号/注册证号、药品编码等内容，并对国家基本药物、国家社保药物、精神药、麻醉药、兴奋药、毒性药品</w:t>
            </w:r>
            <w:r>
              <w:rPr>
                <w:rFonts w:hint="eastAsia" w:ascii="宋体" w:hAnsi="宋体"/>
                <w:szCs w:val="21"/>
              </w:rPr>
              <w:t>、原研药、仿制药</w:t>
            </w:r>
            <w:r>
              <w:rPr>
                <w:rFonts w:ascii="宋体" w:hAnsi="宋体"/>
                <w:szCs w:val="21"/>
              </w:rPr>
              <w:t>进行了标注。</w:t>
            </w:r>
          </w:p>
        </w:tc>
      </w:tr>
      <w:tr w14:paraId="6719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222C15AC">
            <w:pPr>
              <w:pStyle w:val="2"/>
              <w:jc w:val="center"/>
            </w:pPr>
          </w:p>
        </w:tc>
        <w:tc>
          <w:tcPr>
            <w:tcW w:w="7165" w:type="dxa"/>
            <w:noWrap w:val="0"/>
            <w:vAlign w:val="top"/>
          </w:tcPr>
          <w:p w14:paraId="62982671">
            <w:pPr>
              <w:numPr>
                <w:ilvl w:val="1"/>
                <w:numId w:val="5"/>
              </w:numPr>
              <w:adjustRightInd w:val="0"/>
              <w:spacing w:line="288" w:lineRule="auto"/>
              <w:jc w:val="left"/>
              <w:rPr>
                <w:rFonts w:ascii="宋体" w:hAnsi="宋体"/>
                <w:szCs w:val="21"/>
              </w:rPr>
            </w:pPr>
            <w:r>
              <w:rPr>
                <w:rFonts w:hint="eastAsia" w:ascii="宋体" w:hAnsi="宋体"/>
                <w:szCs w:val="21"/>
              </w:rPr>
              <w:t>药品说明书：</w:t>
            </w:r>
            <w:r>
              <w:rPr>
                <w:rFonts w:ascii="宋体" w:hAnsi="宋体"/>
                <w:szCs w:val="21"/>
              </w:rPr>
              <w:t>收录了国家药品监督管理局（NMPA）批准的药品说明书，全面覆盖临床在用品种，持续提供NMPA发布的说明书勘误信息、修订版本。</w:t>
            </w:r>
          </w:p>
        </w:tc>
      </w:tr>
      <w:tr w14:paraId="01A7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14BD85D1">
            <w:pPr>
              <w:pStyle w:val="2"/>
              <w:jc w:val="center"/>
            </w:pPr>
          </w:p>
        </w:tc>
        <w:tc>
          <w:tcPr>
            <w:tcW w:w="7165" w:type="dxa"/>
            <w:noWrap w:val="0"/>
            <w:vAlign w:val="top"/>
          </w:tcPr>
          <w:p w14:paraId="27F55570">
            <w:pPr>
              <w:numPr>
                <w:ilvl w:val="1"/>
                <w:numId w:val="5"/>
              </w:numPr>
              <w:adjustRightInd w:val="0"/>
              <w:spacing w:line="288" w:lineRule="auto"/>
              <w:jc w:val="left"/>
              <w:rPr>
                <w:rFonts w:ascii="宋体" w:hAnsi="宋体"/>
                <w:szCs w:val="21"/>
              </w:rPr>
            </w:pPr>
            <w:r>
              <w:rPr>
                <w:rFonts w:hint="eastAsia" w:ascii="宋体" w:hAnsi="宋体"/>
                <w:szCs w:val="21"/>
              </w:rPr>
              <w:t>药物专论:</w:t>
            </w:r>
            <w:r>
              <w:rPr>
                <w:rFonts w:ascii="宋体" w:hAnsi="宋体"/>
                <w:szCs w:val="21"/>
              </w:rPr>
              <w:t xml:space="preserve"> 包括药物的各种名称、药理、临床应用、特殊人群用药注意事项、不良反应及其处理方法、相互作用、给药说明、用法与用量等信息。还收录了高警讯药物、国外专科信息等内容。</w:t>
            </w:r>
          </w:p>
        </w:tc>
      </w:tr>
      <w:tr w14:paraId="3DA8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395DAFDC">
            <w:pPr>
              <w:pStyle w:val="2"/>
              <w:jc w:val="center"/>
            </w:pPr>
          </w:p>
        </w:tc>
        <w:tc>
          <w:tcPr>
            <w:tcW w:w="7165" w:type="dxa"/>
            <w:noWrap w:val="0"/>
            <w:vAlign w:val="top"/>
          </w:tcPr>
          <w:p w14:paraId="0E3F4921">
            <w:pPr>
              <w:numPr>
                <w:ilvl w:val="1"/>
                <w:numId w:val="5"/>
              </w:numPr>
              <w:adjustRightInd w:val="0"/>
              <w:spacing w:line="288" w:lineRule="auto"/>
              <w:jc w:val="left"/>
              <w:rPr>
                <w:rFonts w:ascii="宋体" w:hAnsi="宋体"/>
                <w:szCs w:val="21"/>
              </w:rPr>
            </w:pPr>
            <w:r>
              <w:rPr>
                <w:rFonts w:hint="eastAsia" w:ascii="宋体" w:hAnsi="宋体"/>
                <w:szCs w:val="21"/>
              </w:rPr>
              <w:t>用药教育:</w:t>
            </w:r>
            <w:r>
              <w:rPr>
                <w:rFonts w:ascii="宋体" w:hAnsi="宋体"/>
                <w:szCs w:val="21"/>
              </w:rPr>
              <w:t xml:space="preserve"> 提供指导普通公众合理用药的教育信息，采用图文和问答形式，用通俗易懂的语言解答患者日常用药的常见问题，重点指导患者如何安全、正确用药。旨在提高患者治疗的用药安全性与依从性。</w:t>
            </w:r>
          </w:p>
        </w:tc>
      </w:tr>
      <w:tr w14:paraId="1A2A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4267E7E5">
            <w:pPr>
              <w:pStyle w:val="2"/>
              <w:jc w:val="center"/>
            </w:pPr>
          </w:p>
        </w:tc>
        <w:tc>
          <w:tcPr>
            <w:tcW w:w="7165" w:type="dxa"/>
            <w:noWrap w:val="0"/>
            <w:vAlign w:val="top"/>
          </w:tcPr>
          <w:p w14:paraId="27D1CBA0">
            <w:pPr>
              <w:numPr>
                <w:ilvl w:val="1"/>
                <w:numId w:val="5"/>
              </w:numPr>
              <w:adjustRightInd w:val="0"/>
              <w:spacing w:line="288" w:lineRule="auto"/>
              <w:jc w:val="left"/>
              <w:rPr>
                <w:rFonts w:ascii="宋体" w:hAnsi="宋体"/>
                <w:szCs w:val="21"/>
              </w:rPr>
            </w:pPr>
            <w:r>
              <w:rPr>
                <w:rFonts w:hint="eastAsia" w:ascii="宋体" w:hAnsi="宋体"/>
                <w:szCs w:val="21"/>
              </w:rPr>
              <w:t>药物相互作用:</w:t>
            </w:r>
            <w:r>
              <w:rPr>
                <w:rFonts w:ascii="宋体" w:hAnsi="宋体"/>
                <w:szCs w:val="21"/>
              </w:rPr>
              <w:t xml:space="preserve"> 提供了国内外权威资料的药物-药物、药物-食物、药物-咖啡因、药物-酒精、药物-保健品、保健品-保健品相互作用信息，相互作用详细信息包括药物相互作用的结果、机制、严重级别、临床处理、案例及报道的分析讨论等内容，并提供查询和审查两种功能。</w:t>
            </w:r>
          </w:p>
        </w:tc>
      </w:tr>
      <w:tr w14:paraId="6CE5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3836141B">
            <w:pPr>
              <w:pStyle w:val="2"/>
              <w:jc w:val="center"/>
            </w:pPr>
          </w:p>
        </w:tc>
        <w:tc>
          <w:tcPr>
            <w:tcW w:w="7165" w:type="dxa"/>
            <w:noWrap w:val="0"/>
            <w:vAlign w:val="top"/>
          </w:tcPr>
          <w:p w14:paraId="4770AC9C">
            <w:pPr>
              <w:numPr>
                <w:ilvl w:val="1"/>
                <w:numId w:val="5"/>
              </w:numPr>
              <w:adjustRightInd w:val="0"/>
              <w:spacing w:line="288" w:lineRule="auto"/>
              <w:jc w:val="left"/>
              <w:rPr>
                <w:rFonts w:ascii="宋体" w:hAnsi="宋体"/>
                <w:szCs w:val="21"/>
              </w:rPr>
            </w:pPr>
            <w:r>
              <w:rPr>
                <w:rFonts w:hint="eastAsia" w:ascii="宋体" w:hAnsi="宋体"/>
                <w:szCs w:val="21"/>
              </w:rPr>
              <w:t>注射剂配伍:</w:t>
            </w:r>
            <w:r>
              <w:rPr>
                <w:rFonts w:ascii="宋体" w:hAnsi="宋体"/>
                <w:szCs w:val="21"/>
              </w:rPr>
              <w:t xml:space="preserve"> 提供了国内外药物经大输液、注射器、Y形管配伍的信息，注射剂配伍详细信息包括注射剂配伍的结论、严重级别、配伍类型、配制方法、结论的说明和相关实验数据等内容，并提供查询和审查两种功能。</w:t>
            </w:r>
          </w:p>
        </w:tc>
      </w:tr>
      <w:tr w14:paraId="7373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2A7BDA90">
            <w:pPr>
              <w:pStyle w:val="2"/>
              <w:jc w:val="center"/>
            </w:pPr>
          </w:p>
        </w:tc>
        <w:tc>
          <w:tcPr>
            <w:tcW w:w="7165" w:type="dxa"/>
            <w:noWrap w:val="0"/>
            <w:vAlign w:val="top"/>
          </w:tcPr>
          <w:p w14:paraId="468250FB">
            <w:pPr>
              <w:numPr>
                <w:ilvl w:val="1"/>
                <w:numId w:val="5"/>
              </w:numPr>
              <w:adjustRightInd w:val="0"/>
              <w:spacing w:line="288" w:lineRule="auto"/>
              <w:jc w:val="left"/>
              <w:rPr>
                <w:rFonts w:ascii="宋体" w:hAnsi="宋体"/>
                <w:szCs w:val="21"/>
              </w:rPr>
            </w:pPr>
            <w:r>
              <w:rPr>
                <w:rFonts w:hint="eastAsia" w:ascii="宋体" w:hAnsi="宋体"/>
                <w:szCs w:val="21"/>
              </w:rPr>
              <w:t>检验值:</w:t>
            </w:r>
            <w:r>
              <w:rPr>
                <w:rFonts w:ascii="宋体" w:hAnsi="宋体"/>
                <w:szCs w:val="21"/>
              </w:rPr>
              <w:t xml:space="preserve"> 提供临床常用检验项目的参考信息，重点解读检验结果的临床意义及药物对检验值的影响。内容包括检验项目基本信息、</w:t>
            </w:r>
            <w:r>
              <w:rPr>
                <w:rFonts w:hint="eastAsia" w:ascii="宋体" w:hAnsi="宋体"/>
                <w:szCs w:val="21"/>
              </w:rPr>
              <w:t>适应症</w:t>
            </w:r>
            <w:r>
              <w:rPr>
                <w:rFonts w:ascii="宋体" w:hAnsi="宋体"/>
                <w:szCs w:val="21"/>
              </w:rPr>
              <w:t>、正常参考值范围、</w:t>
            </w:r>
            <w:r>
              <w:rPr>
                <w:rFonts w:hint="eastAsia" w:ascii="宋体" w:hAnsi="宋体"/>
                <w:szCs w:val="21"/>
              </w:rPr>
              <w:t>患者准备、样本要求、</w:t>
            </w:r>
            <w:r>
              <w:rPr>
                <w:rFonts w:ascii="宋体" w:hAnsi="宋体"/>
                <w:szCs w:val="21"/>
              </w:rPr>
              <w:t>结果</w:t>
            </w:r>
            <w:r>
              <w:rPr>
                <w:rFonts w:hint="eastAsia" w:ascii="宋体" w:hAnsi="宋体"/>
                <w:szCs w:val="21"/>
              </w:rPr>
              <w:t>及</w:t>
            </w:r>
            <w:r>
              <w:rPr>
                <w:rFonts w:ascii="宋体" w:hAnsi="宋体"/>
                <w:szCs w:val="21"/>
              </w:rPr>
              <w:t>临床意义、药物对检验结果的影响、注意事项信息。</w:t>
            </w:r>
          </w:p>
        </w:tc>
      </w:tr>
      <w:tr w14:paraId="7DB4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192BE96E">
            <w:pPr>
              <w:pStyle w:val="2"/>
              <w:jc w:val="center"/>
            </w:pPr>
          </w:p>
        </w:tc>
        <w:tc>
          <w:tcPr>
            <w:tcW w:w="7165" w:type="dxa"/>
            <w:noWrap w:val="0"/>
            <w:vAlign w:val="top"/>
          </w:tcPr>
          <w:p w14:paraId="71AE025E">
            <w:pPr>
              <w:numPr>
                <w:ilvl w:val="1"/>
                <w:numId w:val="5"/>
              </w:numPr>
              <w:adjustRightInd w:val="0"/>
              <w:spacing w:line="288" w:lineRule="auto"/>
              <w:jc w:val="left"/>
              <w:rPr>
                <w:rFonts w:ascii="宋体" w:hAnsi="宋体"/>
                <w:szCs w:val="21"/>
              </w:rPr>
            </w:pPr>
            <w:r>
              <w:rPr>
                <w:rFonts w:hint="eastAsia" w:ascii="宋体" w:hAnsi="宋体"/>
                <w:szCs w:val="21"/>
              </w:rPr>
              <w:t>ATC编码与D</w:t>
            </w:r>
            <w:r>
              <w:rPr>
                <w:rFonts w:ascii="宋体" w:hAnsi="宋体"/>
                <w:szCs w:val="21"/>
              </w:rPr>
              <w:t>DD</w:t>
            </w:r>
            <w:r>
              <w:rPr>
                <w:rFonts w:hint="eastAsia" w:ascii="宋体" w:hAnsi="宋体"/>
                <w:szCs w:val="21"/>
              </w:rPr>
              <w:t>值:</w:t>
            </w:r>
            <w:bookmarkStart w:id="0" w:name="_Hlk57044096"/>
            <w:r>
              <w:rPr>
                <w:rFonts w:hint="eastAsia" w:ascii="宋体" w:hAnsi="宋体"/>
                <w:szCs w:val="21"/>
              </w:rPr>
              <w:t xml:space="preserve"> 收录全国抗菌药物临床应用监测网和世界卫生组织（WHO）官网发布的ATC/DDD索引中的药物ATC编码与DDD值。与</w:t>
            </w:r>
            <w:r>
              <w:rPr>
                <w:rFonts w:ascii="宋体" w:hAnsi="宋体"/>
                <w:szCs w:val="21"/>
              </w:rPr>
              <w:t>NMPA</w:t>
            </w:r>
            <w:r>
              <w:rPr>
                <w:rFonts w:hint="eastAsia" w:ascii="宋体" w:hAnsi="宋体"/>
                <w:szCs w:val="21"/>
              </w:rPr>
              <w:t>批准上市的药品建立了对应关系，方便查询上市药品的ATC分类与DDD值。</w:t>
            </w:r>
            <w:bookmarkEnd w:id="0"/>
          </w:p>
        </w:tc>
      </w:tr>
      <w:tr w14:paraId="5067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2C2358F2">
            <w:pPr>
              <w:pStyle w:val="2"/>
              <w:jc w:val="center"/>
            </w:pPr>
          </w:p>
        </w:tc>
        <w:tc>
          <w:tcPr>
            <w:tcW w:w="7165" w:type="dxa"/>
            <w:noWrap w:val="0"/>
            <w:vAlign w:val="top"/>
          </w:tcPr>
          <w:p w14:paraId="120EBB60">
            <w:pPr>
              <w:numPr>
                <w:ilvl w:val="1"/>
                <w:numId w:val="5"/>
              </w:numPr>
              <w:adjustRightInd w:val="0"/>
              <w:spacing w:line="288" w:lineRule="auto"/>
              <w:jc w:val="left"/>
              <w:rPr>
                <w:rFonts w:ascii="宋体" w:hAnsi="宋体"/>
                <w:szCs w:val="21"/>
              </w:rPr>
            </w:pPr>
            <w:r>
              <w:rPr>
                <w:rFonts w:hint="eastAsia" w:ascii="宋体" w:hAnsi="宋体"/>
                <w:szCs w:val="21"/>
              </w:rPr>
              <w:t>ICD编码: 提供国家临床版(简称国临版)、医保版的ICD-10、 ICD-9-CM-3、肿瘤形态学编码，以及国临版和医保版的对照查询。提供ICD-11和国家医疗保障疾病诊断相关分组(CHS-DRG)细分组【含核心疾病诊断相关分组(ADRG)和疾病诊断相关分组(DRG)】查询。</w:t>
            </w:r>
          </w:p>
        </w:tc>
      </w:tr>
      <w:tr w14:paraId="57E9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0FDA68AA">
            <w:pPr>
              <w:pStyle w:val="2"/>
              <w:jc w:val="center"/>
            </w:pPr>
          </w:p>
        </w:tc>
        <w:tc>
          <w:tcPr>
            <w:tcW w:w="7165" w:type="dxa"/>
            <w:noWrap w:val="0"/>
            <w:vAlign w:val="top"/>
          </w:tcPr>
          <w:p w14:paraId="35A48ECC">
            <w:pPr>
              <w:numPr>
                <w:ilvl w:val="1"/>
                <w:numId w:val="5"/>
              </w:numPr>
              <w:adjustRightInd w:val="0"/>
              <w:spacing w:line="288" w:lineRule="auto"/>
              <w:jc w:val="left"/>
              <w:rPr>
                <w:rFonts w:ascii="宋体" w:hAnsi="宋体"/>
                <w:szCs w:val="21"/>
              </w:rPr>
            </w:pPr>
            <w:r>
              <w:rPr>
                <w:rFonts w:hint="eastAsia" w:ascii="宋体" w:hAnsi="宋体"/>
                <w:szCs w:val="21"/>
              </w:rPr>
              <w:t>临床路径:</w:t>
            </w:r>
            <w:r>
              <w:rPr>
                <w:rFonts w:ascii="宋体" w:hAnsi="宋体"/>
                <w:szCs w:val="21"/>
              </w:rPr>
              <w:t xml:space="preserve"> 收录了国家卫生健康委员会发布的临床路径及国家卫生健康委员会委托中国医学科学院编写的临床路径释义，涵盖了临床各科室的常见疾病病种，可链接到医药公式数据库查看相关内容。</w:t>
            </w:r>
          </w:p>
        </w:tc>
      </w:tr>
      <w:tr w14:paraId="3D5C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7641FC93">
            <w:pPr>
              <w:pStyle w:val="2"/>
              <w:jc w:val="center"/>
            </w:pPr>
          </w:p>
        </w:tc>
        <w:tc>
          <w:tcPr>
            <w:tcW w:w="7165" w:type="dxa"/>
            <w:noWrap w:val="0"/>
            <w:vAlign w:val="top"/>
          </w:tcPr>
          <w:p w14:paraId="059B9055">
            <w:pPr>
              <w:numPr>
                <w:ilvl w:val="1"/>
                <w:numId w:val="5"/>
              </w:numPr>
              <w:adjustRightInd w:val="0"/>
              <w:spacing w:line="288" w:lineRule="auto"/>
              <w:jc w:val="left"/>
              <w:rPr>
                <w:rFonts w:ascii="宋体" w:hAnsi="宋体"/>
                <w:szCs w:val="21"/>
              </w:rPr>
            </w:pPr>
            <w:r>
              <w:rPr>
                <w:rFonts w:hint="eastAsia" w:ascii="宋体" w:hAnsi="宋体"/>
                <w:szCs w:val="21"/>
              </w:rPr>
              <w:t>医药公式:</w:t>
            </w:r>
            <w:r>
              <w:rPr>
                <w:rFonts w:ascii="宋体" w:hAnsi="宋体"/>
                <w:szCs w:val="21"/>
              </w:rPr>
              <w:t xml:space="preserve"> 提供临床常用的医药学公式及评分、分级标准量表等，并提供计算功能。公式涵盖了临床常见科室，包括内科、外科、儿科、妇产科、神经科、眼科、肿瘤科、精神科、皮肤科等。</w:t>
            </w:r>
          </w:p>
        </w:tc>
      </w:tr>
      <w:tr w14:paraId="7611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40205D99">
            <w:pPr>
              <w:pStyle w:val="2"/>
              <w:jc w:val="center"/>
            </w:pPr>
          </w:p>
        </w:tc>
        <w:tc>
          <w:tcPr>
            <w:tcW w:w="7165" w:type="dxa"/>
            <w:noWrap w:val="0"/>
            <w:vAlign w:val="top"/>
          </w:tcPr>
          <w:p w14:paraId="3A3AB02F">
            <w:pPr>
              <w:numPr>
                <w:ilvl w:val="1"/>
                <w:numId w:val="5"/>
              </w:numPr>
              <w:adjustRightInd w:val="0"/>
              <w:spacing w:line="288" w:lineRule="auto"/>
              <w:jc w:val="left"/>
              <w:rPr>
                <w:rFonts w:ascii="宋体" w:hAnsi="宋体"/>
                <w:szCs w:val="21"/>
              </w:rPr>
            </w:pPr>
            <w:r>
              <w:rPr>
                <w:rFonts w:ascii="宋体" w:hAnsi="宋体"/>
                <w:szCs w:val="21"/>
              </w:rPr>
              <w:t>MCDEX</w:t>
            </w:r>
            <w:r>
              <w:rPr>
                <w:rFonts w:hint="eastAsia" w:ascii="宋体" w:hAnsi="宋体"/>
                <w:szCs w:val="21"/>
              </w:rPr>
              <w:t>时讯:</w:t>
            </w:r>
            <w:r>
              <w:rPr>
                <w:rFonts w:ascii="宋体" w:hAnsi="宋体"/>
                <w:szCs w:val="21"/>
              </w:rPr>
              <w:t xml:space="preserve"> 提供国内外药品监管部门、权威专业机构发布的药物研究成果、药物警戒、新药研发和上市资讯等信息。内容包括药物临床应用、用药安全、新药信息、研究动态、医药动态等信息，全面涵盖了临床药物动态。</w:t>
            </w:r>
          </w:p>
        </w:tc>
      </w:tr>
      <w:tr w14:paraId="6331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76356100">
            <w:pPr>
              <w:pStyle w:val="2"/>
              <w:jc w:val="center"/>
            </w:pPr>
          </w:p>
        </w:tc>
        <w:tc>
          <w:tcPr>
            <w:tcW w:w="7165" w:type="dxa"/>
            <w:noWrap w:val="0"/>
            <w:vAlign w:val="top"/>
          </w:tcPr>
          <w:p w14:paraId="18B5A898">
            <w:pPr>
              <w:numPr>
                <w:ilvl w:val="1"/>
                <w:numId w:val="5"/>
              </w:numPr>
              <w:adjustRightInd w:val="0"/>
              <w:spacing w:line="288" w:lineRule="auto"/>
              <w:jc w:val="left"/>
              <w:rPr>
                <w:rFonts w:ascii="宋体" w:hAnsi="宋体"/>
                <w:szCs w:val="21"/>
              </w:rPr>
            </w:pPr>
            <w:r>
              <w:rPr>
                <w:rFonts w:hint="eastAsia" w:ascii="宋体" w:hAnsi="宋体"/>
                <w:szCs w:val="21"/>
              </w:rPr>
              <w:t>医药法规: 收录了国家药品监督管理局、国家卫生健康委员会等权威机构发布的法律法规、行政规章信息和相应的通知及政策解读。内容包括药品管理（包括中药）、医疗机构管理、医疗事故管理、传染病防治等。可通过正文链接进入官方网站查看原文。</w:t>
            </w:r>
          </w:p>
        </w:tc>
      </w:tr>
      <w:tr w14:paraId="7EC5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restart"/>
            <w:noWrap w:val="0"/>
            <w:vAlign w:val="center"/>
          </w:tcPr>
          <w:p w14:paraId="53073901">
            <w:pPr>
              <w:pStyle w:val="2"/>
              <w:jc w:val="center"/>
            </w:pPr>
            <w:r>
              <w:rPr>
                <w:rFonts w:hint="eastAsia" w:ascii="宋体" w:hAnsi="宋体"/>
                <w:b w:val="0"/>
                <w:bCs w:val="0"/>
                <w:sz w:val="21"/>
                <w:szCs w:val="21"/>
              </w:rPr>
              <w:t>数据库的审查功能</w:t>
            </w:r>
          </w:p>
        </w:tc>
        <w:tc>
          <w:tcPr>
            <w:tcW w:w="7165" w:type="dxa"/>
            <w:noWrap w:val="0"/>
            <w:vAlign w:val="top"/>
          </w:tcPr>
          <w:p w14:paraId="66D0006D">
            <w:pPr>
              <w:numPr>
                <w:ilvl w:val="0"/>
                <w:numId w:val="6"/>
              </w:numPr>
              <w:adjustRightInd w:val="0"/>
              <w:spacing w:line="288" w:lineRule="auto"/>
              <w:jc w:val="left"/>
              <w:rPr>
                <w:rFonts w:ascii="宋体" w:hAnsi="宋体"/>
                <w:szCs w:val="21"/>
              </w:rPr>
            </w:pPr>
            <w:r>
              <w:rPr>
                <w:rFonts w:hint="eastAsia" w:ascii="宋体" w:hAnsi="宋体"/>
                <w:szCs w:val="21"/>
              </w:rPr>
              <w:t>药物相互作用:</w:t>
            </w:r>
            <w:r>
              <w:rPr>
                <w:rFonts w:ascii="宋体" w:hAnsi="宋体"/>
                <w:szCs w:val="21"/>
              </w:rPr>
              <w:t xml:space="preserve"> 提供了国内外权威资料的药物-药物、药物-食物、药物-咖啡因、药物-酒精、药物-保健品、保健品-保健品相互作用信息，相互作用详细信息包括药物相互作用的结果、机制、严重级别、临床处理、案例及报道的分析讨论等内容，并提供查询和审查两种功能。</w:t>
            </w:r>
          </w:p>
        </w:tc>
      </w:tr>
      <w:tr w14:paraId="499A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Merge w:val="continue"/>
            <w:noWrap w:val="0"/>
            <w:vAlign w:val="center"/>
          </w:tcPr>
          <w:p w14:paraId="6BB63DBB">
            <w:pPr>
              <w:pStyle w:val="2"/>
              <w:jc w:val="center"/>
              <w:rPr>
                <w:rFonts w:hint="eastAsia" w:ascii="宋体" w:hAnsi="宋体" w:cs="Arial"/>
                <w:szCs w:val="21"/>
              </w:rPr>
            </w:pPr>
          </w:p>
        </w:tc>
        <w:tc>
          <w:tcPr>
            <w:tcW w:w="7165" w:type="dxa"/>
            <w:noWrap w:val="0"/>
            <w:vAlign w:val="top"/>
          </w:tcPr>
          <w:p w14:paraId="3BF41A4E">
            <w:pPr>
              <w:numPr>
                <w:ilvl w:val="0"/>
                <w:numId w:val="6"/>
              </w:numPr>
              <w:adjustRightInd w:val="0"/>
              <w:spacing w:line="288" w:lineRule="auto"/>
              <w:jc w:val="left"/>
              <w:rPr>
                <w:rFonts w:ascii="宋体" w:hAnsi="宋体"/>
                <w:szCs w:val="21"/>
              </w:rPr>
            </w:pPr>
            <w:r>
              <w:rPr>
                <w:rFonts w:ascii="宋体" w:hAnsi="宋体"/>
                <w:szCs w:val="21"/>
              </w:rPr>
              <w:t>注射剂配伍</w:t>
            </w:r>
            <w:r>
              <w:rPr>
                <w:rFonts w:hint="eastAsia" w:ascii="宋体" w:hAnsi="宋体"/>
                <w:szCs w:val="21"/>
              </w:rPr>
              <w:t>:</w:t>
            </w:r>
            <w:r>
              <w:rPr>
                <w:rFonts w:ascii="宋体" w:hAnsi="宋体"/>
                <w:szCs w:val="21"/>
              </w:rPr>
              <w:t xml:space="preserve"> 提供了国内外药物经大输液、注射器、Y形管配伍的信息，注射剂配伍详细信息包括注射剂配伍的结论、严重级别、配伍类型、配制方法、结论的说明和相关实验数据等内容，并提供查询和审查两种功能。</w:t>
            </w:r>
          </w:p>
        </w:tc>
      </w:tr>
      <w:tr w14:paraId="31E2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noWrap w:val="0"/>
            <w:vAlign w:val="center"/>
          </w:tcPr>
          <w:p w14:paraId="01619767">
            <w:pPr>
              <w:pStyle w:val="2"/>
              <w:jc w:val="center"/>
              <w:rPr>
                <w:rFonts w:hint="eastAsia" w:ascii="宋体" w:hAnsi="宋体" w:cs="Arial"/>
                <w:szCs w:val="21"/>
              </w:rPr>
            </w:pPr>
            <w:r>
              <w:rPr>
                <w:rFonts w:hint="eastAsia" w:ascii="宋体" w:hAnsi="宋体"/>
                <w:b w:val="0"/>
                <w:bCs w:val="0"/>
                <w:sz w:val="21"/>
                <w:szCs w:val="21"/>
              </w:rPr>
              <w:t>药物比较</w:t>
            </w:r>
          </w:p>
        </w:tc>
        <w:tc>
          <w:tcPr>
            <w:tcW w:w="7165" w:type="dxa"/>
            <w:noWrap w:val="0"/>
            <w:vAlign w:val="top"/>
          </w:tcPr>
          <w:p w14:paraId="36050AC2">
            <w:pPr>
              <w:numPr>
                <w:ilvl w:val="0"/>
                <w:numId w:val="7"/>
              </w:numPr>
              <w:adjustRightInd w:val="0"/>
              <w:spacing w:line="288" w:lineRule="auto"/>
              <w:jc w:val="left"/>
              <w:rPr>
                <w:rFonts w:ascii="宋体" w:hAnsi="宋体"/>
                <w:szCs w:val="21"/>
              </w:rPr>
            </w:pPr>
            <w:r>
              <w:rPr>
                <w:rFonts w:hint="eastAsia" w:ascii="宋体" w:hAnsi="宋体"/>
                <w:szCs w:val="21"/>
              </w:rPr>
              <w:t>药物比较: 提供药物专论、药品说明书中药物信息的比较功能，可协助医药专业人员分析不同药物之间的区别，作出更优的临床决策。</w:t>
            </w:r>
          </w:p>
        </w:tc>
      </w:tr>
    </w:tbl>
    <w:p w14:paraId="59046AD3">
      <w:pPr>
        <w:pStyle w:val="2"/>
      </w:pPr>
    </w:p>
    <w:p w14:paraId="11C877D6">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EC32DD-4CFB-4F20-AE10-49A0D657EB4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3926BFA-3514-46AC-9CAA-D83683C8FD54}"/>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82015598-0828-40BF-A6B3-19AFDBCAA73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17743"/>
    <w:multiLevelType w:val="singleLevel"/>
    <w:tmpl w:val="84417743"/>
    <w:lvl w:ilvl="0" w:tentative="0">
      <w:start w:val="1"/>
      <w:numFmt w:val="decimal"/>
      <w:suff w:val="nothing"/>
      <w:lvlText w:val="%1．"/>
      <w:lvlJc w:val="left"/>
      <w:pPr>
        <w:ind w:left="0" w:firstLine="400"/>
      </w:pPr>
      <w:rPr>
        <w:rFonts w:hint="default"/>
      </w:rPr>
    </w:lvl>
  </w:abstractNum>
  <w:abstractNum w:abstractNumId="1">
    <w:nsid w:val="A76E6E82"/>
    <w:multiLevelType w:val="singleLevel"/>
    <w:tmpl w:val="A76E6E82"/>
    <w:lvl w:ilvl="0" w:tentative="0">
      <w:start w:val="1"/>
      <w:numFmt w:val="chineseCounting"/>
      <w:suff w:val="nothing"/>
      <w:lvlText w:val="%1、"/>
      <w:lvlJc w:val="left"/>
      <w:pPr>
        <w:ind w:left="0" w:firstLine="420"/>
      </w:pPr>
      <w:rPr>
        <w:rFonts w:hint="eastAsia"/>
      </w:rPr>
    </w:lvl>
  </w:abstractNum>
  <w:abstractNum w:abstractNumId="2">
    <w:nsid w:val="FCBB651E"/>
    <w:multiLevelType w:val="singleLevel"/>
    <w:tmpl w:val="FCBB651E"/>
    <w:lvl w:ilvl="0" w:tentative="0">
      <w:start w:val="1"/>
      <w:numFmt w:val="decimal"/>
      <w:suff w:val="nothing"/>
      <w:lvlText w:val="%1．"/>
      <w:lvlJc w:val="left"/>
      <w:pPr>
        <w:ind w:left="0" w:firstLine="400"/>
      </w:pPr>
      <w:rPr>
        <w:rFonts w:hint="default"/>
      </w:rPr>
    </w:lvl>
  </w:abstractNum>
  <w:abstractNum w:abstractNumId="3">
    <w:nsid w:val="0AA46CC0"/>
    <w:multiLevelType w:val="multilevel"/>
    <w:tmpl w:val="0AA46CC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C3CFFF6"/>
    <w:multiLevelType w:val="multilevel"/>
    <w:tmpl w:val="0C3CFFF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7F95E68"/>
    <w:multiLevelType w:val="multilevel"/>
    <w:tmpl w:val="17F95E68"/>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227F96"/>
    <w:multiLevelType w:val="multilevel"/>
    <w:tmpl w:val="62227F96"/>
    <w:lvl w:ilvl="0" w:tentative="0">
      <w:start w:val="1"/>
      <w:numFmt w:val="decimal"/>
      <w:pStyle w:val="36"/>
      <w:lvlText w:val="%1."/>
      <w:lvlJc w:val="left"/>
      <w:pPr>
        <w:ind w:left="420" w:hanging="23"/>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A9A6B7F"/>
    <w:rsid w:val="0D2041F6"/>
    <w:rsid w:val="12183726"/>
    <w:rsid w:val="1244104C"/>
    <w:rsid w:val="145E00B3"/>
    <w:rsid w:val="17AF2B0A"/>
    <w:rsid w:val="1C550B58"/>
    <w:rsid w:val="1D8603A1"/>
    <w:rsid w:val="21C33CC9"/>
    <w:rsid w:val="230751DE"/>
    <w:rsid w:val="285B0625"/>
    <w:rsid w:val="30D90521"/>
    <w:rsid w:val="335257AD"/>
    <w:rsid w:val="348D5F2C"/>
    <w:rsid w:val="35F475EF"/>
    <w:rsid w:val="36193C1A"/>
    <w:rsid w:val="36781175"/>
    <w:rsid w:val="409A576D"/>
    <w:rsid w:val="41B636AC"/>
    <w:rsid w:val="428216CB"/>
    <w:rsid w:val="42F637F7"/>
    <w:rsid w:val="43054AC7"/>
    <w:rsid w:val="4376774B"/>
    <w:rsid w:val="43A63CED"/>
    <w:rsid w:val="494C6B32"/>
    <w:rsid w:val="4C617D74"/>
    <w:rsid w:val="500D6A9E"/>
    <w:rsid w:val="50962F12"/>
    <w:rsid w:val="55F77615"/>
    <w:rsid w:val="56E21C0C"/>
    <w:rsid w:val="5A0A75BA"/>
    <w:rsid w:val="5B7C721B"/>
    <w:rsid w:val="5CA21F50"/>
    <w:rsid w:val="5EFC0835"/>
    <w:rsid w:val="6083374F"/>
    <w:rsid w:val="679D15D1"/>
    <w:rsid w:val="67A5501F"/>
    <w:rsid w:val="6DAF419E"/>
    <w:rsid w:val="731C73CE"/>
    <w:rsid w:val="74197352"/>
    <w:rsid w:val="79F2751F"/>
    <w:rsid w:val="7C3755ED"/>
    <w:rsid w:val="7CF90201"/>
    <w:rsid w:val="7F6A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unhideWhenUsed/>
    <w:qFormat/>
    <w:uiPriority w:val="0"/>
    <w:pPr>
      <w:spacing w:line="360" w:lineRule="auto"/>
      <w:ind w:firstLine="420" w:firstLineChars="200"/>
    </w:pPr>
    <w:rPr>
      <w:rFonts w:asciiTheme="minorHAnsi" w:hAnsiTheme="minorHAnsi"/>
      <w:sz w:val="24"/>
    </w:rPr>
  </w:style>
  <w:style w:type="paragraph" w:styleId="7">
    <w:name w:val="Body Text Indent"/>
    <w:basedOn w:val="1"/>
    <w:next w:val="8"/>
    <w:qFormat/>
    <w:uiPriority w:val="0"/>
    <w:pPr>
      <w:spacing w:after="120" w:afterLines="0" w:afterAutospacing="0"/>
      <w:ind w:left="420" w:leftChars="200"/>
    </w:pPr>
  </w:style>
  <w:style w:type="paragraph" w:styleId="8">
    <w:name w:val="envelope return"/>
    <w:basedOn w:val="1"/>
    <w:unhideWhenUsed/>
    <w:qFormat/>
    <w:uiPriority w:val="99"/>
    <w:pPr>
      <w:snapToGrid w:val="0"/>
    </w:pPr>
    <w:rPr>
      <w:rFonts w:ascii="Arial" w:hAnsi="Arial"/>
    </w:rPr>
  </w:style>
  <w:style w:type="paragraph" w:styleId="9">
    <w:name w:val="Plain Text"/>
    <w:basedOn w:val="1"/>
    <w:semiHidden/>
    <w:unhideWhenUsed/>
    <w:qFormat/>
    <w:uiPriority w:val="99"/>
    <w:rPr>
      <w:rFonts w:hAnsi="Courier New" w:cs="Courier New" w:asciiTheme="minorEastAsia" w:eastAsiaTheme="minorEastAsia"/>
    </w:rPr>
  </w:style>
  <w:style w:type="paragraph" w:styleId="10">
    <w:name w:val="Body Text Indent 2"/>
    <w:basedOn w:val="1"/>
    <w:qFormat/>
    <w:uiPriority w:val="0"/>
    <w:pPr>
      <w:ind w:firstLine="585"/>
    </w:pPr>
    <w:rPr>
      <w:rFonts w:ascii="宋体" w:eastAsia="宋体"/>
      <w:sz w:val="30"/>
      <w:szCs w:val="20"/>
    </w:r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toc 1"/>
    <w:basedOn w:val="1"/>
    <w:next w:val="1"/>
    <w:qFormat/>
    <w:uiPriority w:val="39"/>
    <w:pPr>
      <w:ind w:left="50" w:leftChars="50"/>
    </w:pPr>
    <w:rPr>
      <w:rFonts w:ascii="Calibri" w:hAnsi="Calibri"/>
      <w:kern w:val="0"/>
    </w:rPr>
  </w:style>
  <w:style w:type="paragraph" w:styleId="13">
    <w:name w:val="Subtitle"/>
    <w:basedOn w:val="1"/>
    <w:next w:val="1"/>
    <w:qFormat/>
    <w:uiPriority w:val="0"/>
    <w:pPr>
      <w:wordWrap w:val="0"/>
      <w:spacing w:after="60"/>
      <w:jc w:val="center"/>
    </w:pPr>
    <w:rPr>
      <w:rFonts w:ascii="宋体" w:hAnsi="宋体" w:eastAsia="宋体" w:cs="宋体"/>
      <w:sz w:val="24"/>
      <w:lang w:val="en-US" w:eastAsia="zh-CN" w:bidi="ar-SA"/>
    </w:rPr>
  </w:style>
  <w:style w:type="paragraph" w:styleId="14">
    <w:name w:val="toc 6"/>
    <w:basedOn w:val="1"/>
    <w:next w:val="1"/>
    <w:unhideWhenUsed/>
    <w:qFormat/>
    <w:uiPriority w:val="39"/>
    <w:pPr>
      <w:ind w:left="2100" w:leftChars="1000"/>
    </w:pPr>
    <w:rPr>
      <w:szCs w:val="22"/>
    </w:rPr>
  </w:style>
  <w:style w:type="paragraph" w:styleId="15">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6">
    <w:name w:val="Body Text First Indent"/>
    <w:basedOn w:val="2"/>
    <w:unhideWhenUsed/>
    <w:qFormat/>
    <w:uiPriority w:val="99"/>
    <w:pPr>
      <w:ind w:firstLine="420" w:firstLineChars="100"/>
    </w:pPr>
  </w:style>
  <w:style w:type="paragraph" w:styleId="17">
    <w:name w:val="Body Text First Indent 2"/>
    <w:basedOn w:val="7"/>
    <w:next w:val="16"/>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2">
    <w:name w:val="BodyText"/>
    <w:basedOn w:val="1"/>
    <w:next w:val="1"/>
    <w:qFormat/>
    <w:uiPriority w:val="0"/>
    <w:pPr>
      <w:spacing w:after="120"/>
    </w:pPr>
  </w:style>
  <w:style w:type="paragraph" w:styleId="23">
    <w:name w:val="List Paragraph"/>
    <w:basedOn w:val="1"/>
    <w:unhideWhenUsed/>
    <w:qFormat/>
    <w:uiPriority w:val="99"/>
    <w:pPr>
      <w:ind w:firstLine="420" w:firstLineChars="200"/>
    </w:pPr>
  </w:style>
  <w:style w:type="paragraph" w:customStyle="1" w:styleId="24">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25">
    <w:name w:val="正文1"/>
    <w:basedOn w:val="26"/>
    <w:qFormat/>
    <w:uiPriority w:val="0"/>
    <w:pPr>
      <w:spacing w:line="318" w:lineRule="atLeast"/>
      <w:ind w:left="369" w:firstLine="369"/>
    </w:pPr>
    <w:rPr>
      <w:rFonts w:ascii="宋体"/>
    </w:rPr>
  </w:style>
  <w:style w:type="paragraph" w:customStyle="1" w:styleId="26">
    <w:name w:val="正文_1"/>
    <w:basedOn w:val="27"/>
    <w:qFormat/>
    <w:uiPriority w:val="0"/>
    <w:rPr>
      <w:rFonts w:cs="Calibri"/>
      <w:szCs w:val="21"/>
    </w:rPr>
  </w:style>
  <w:style w:type="paragraph" w:customStyle="1" w:styleId="27">
    <w:name w:val="正文_2"/>
    <w:basedOn w:val="28"/>
    <w:next w:val="34"/>
    <w:qFormat/>
    <w:uiPriority w:val="0"/>
  </w:style>
  <w:style w:type="paragraph" w:customStyle="1" w:styleId="28">
    <w:name w:val="正文_3"/>
    <w:next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文本_1"/>
    <w:basedOn w:val="30"/>
    <w:unhideWhenUsed/>
    <w:qFormat/>
    <w:uiPriority w:val="0"/>
    <w:pPr>
      <w:spacing w:after="120"/>
    </w:pPr>
    <w:rPr>
      <w:rFonts w:eastAsia="宋体" w:cs="Times New Roman"/>
    </w:rPr>
  </w:style>
  <w:style w:type="paragraph" w:customStyle="1" w:styleId="30">
    <w:name w:val="正文_2_0"/>
    <w:basedOn w:val="31"/>
    <w:next w:val="29"/>
    <w:qFormat/>
    <w:uiPriority w:val="0"/>
    <w:rPr>
      <w:rFonts w:ascii="Calibri" w:hAnsi="Calibri"/>
      <w:sz w:val="21"/>
      <w:lang w:eastAsia="zh-CN"/>
    </w:rPr>
  </w:style>
  <w:style w:type="paragraph" w:customStyle="1" w:styleId="31">
    <w:name w:val="正文_3_0"/>
    <w:basedOn w:val="32"/>
    <w:qFormat/>
    <w:uiPriority w:val="0"/>
    <w:pPr>
      <w:autoSpaceDE w:val="0"/>
      <w:autoSpaceDN w:val="0"/>
    </w:pPr>
    <w:rPr>
      <w:rFonts w:ascii="仿宋" w:hAnsi="仿宋" w:eastAsia="仿宋" w:cs="仿宋"/>
      <w:sz w:val="22"/>
      <w:lang w:eastAsia="en-US"/>
    </w:rPr>
  </w:style>
  <w:style w:type="paragraph" w:customStyle="1" w:styleId="32">
    <w:name w:val="正文_4_0"/>
    <w:basedOn w:val="33"/>
    <w:qFormat/>
    <w:uiPriority w:val="0"/>
  </w:style>
  <w:style w:type="paragraph" w:customStyle="1" w:styleId="3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无间隔1"/>
    <w:basedOn w:val="1"/>
    <w:next w:val="35"/>
    <w:qFormat/>
    <w:uiPriority w:val="1"/>
  </w:style>
  <w:style w:type="paragraph" w:customStyle="1" w:styleId="35">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sz w:val="21"/>
      <w:szCs w:val="20"/>
    </w:rPr>
  </w:style>
  <w:style w:type="paragraph" w:customStyle="1" w:styleId="36">
    <w:name w:val="正文宋小四"/>
    <w:basedOn w:val="9"/>
    <w:qFormat/>
    <w:uiPriority w:val="0"/>
    <w:pPr>
      <w:numPr>
        <w:ilvl w:val="0"/>
        <w:numId w:val="1"/>
      </w:numPr>
      <w:tabs>
        <w:tab w:val="left" w:pos="316"/>
        <w:tab w:val="left" w:pos="1080"/>
      </w:tabs>
      <w:ind w:left="0" w:firstLine="400"/>
    </w:pPr>
    <w:rPr>
      <w:rFonts w:cs="Times New Roman" w:hAnsiTheme="minorEastAsia"/>
      <w:b/>
      <w:bCs/>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1118</Words>
  <Characters>1257</Characters>
  <Lines>0</Lines>
  <Paragraphs>0</Paragraphs>
  <TotalTime>0</TotalTime>
  <ScaleCrop>false</ScaleCrop>
  <LinksUpToDate>false</LinksUpToDate>
  <CharactersWithSpaces>1261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2026-02-28T00:44:48Z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55FFDAD5D5964861B3C144D195158EAE_13</vt:lpwstr>
  </property>
  <property fmtid="{D5CDD505-2E9C-101B-9397-08002B2CF9AE}" pid="4" name="KSOTemplateDocerSaveRecord">
    <vt:lpwstr>eyJoZGlkIjoiNDNmMGZiOTlkZWMzNjE0NjRjN2VmZGE2NzMyNzhhNGIiLCJ1c2VySWQiOiIxNjQ2MzQ3NDE5In0=</vt:lpwstr>
  </property>
</Properties>
</file>