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419C7">
      <w:pPr>
        <w:rPr>
          <w:rFonts w:hint="eastAsia"/>
        </w:rPr>
      </w:pPr>
      <w:r>
        <w:rPr>
          <w:rFonts w:hint="eastAsia"/>
        </w:rPr>
        <w:t>附件（一）：服务要求</w:t>
      </w:r>
    </w:p>
    <w:p w14:paraId="0B7669D1">
      <w:pPr>
        <w:rPr>
          <w:rFonts w:hint="eastAsia"/>
        </w:rPr>
      </w:pPr>
    </w:p>
    <w:p w14:paraId="7AF7F64E">
      <w:pPr>
        <w:rPr>
          <w:rFonts w:hint="eastAsia"/>
        </w:rPr>
      </w:pPr>
      <w:r>
        <w:rPr>
          <w:rFonts w:hint="eastAsia"/>
        </w:rPr>
        <w:t>（一）</w:t>
      </w:r>
    </w:p>
    <w:p w14:paraId="43F4CA59">
      <w:pPr>
        <w:ind w:firstLine="420" w:firstLineChars="200"/>
        <w:rPr>
          <w:rFonts w:hint="eastAsia"/>
        </w:rPr>
      </w:pPr>
      <w:bookmarkStart w:id="0" w:name="_GoBack"/>
      <w:r>
        <w:rPr>
          <w:rFonts w:hint="eastAsia"/>
        </w:rPr>
        <w:t>1.样本来源及运输：项目共包含不少于10例组织标本，由采购人课题组负责收集，并提供检验样品信息和检验项目信息；供应商负责检验样品的处置、运输（含临床到采购人实验室、采购人实验室到供应商实验室），对检验样品运输过程中的安全性、可靠性负责。</w:t>
      </w:r>
    </w:p>
    <w:bookmarkEnd w:id="0"/>
    <w:p w14:paraId="2A0412EC">
      <w:pPr>
        <w:ind w:firstLine="420" w:firstLineChars="200"/>
        <w:rPr>
          <w:rFonts w:hint="eastAsia"/>
        </w:rPr>
      </w:pPr>
      <w:r>
        <w:rPr>
          <w:rFonts w:hint="eastAsia"/>
        </w:rPr>
        <w:t>2.类器官模型构建服务：供应商需在采购人实验室完成肿瘤类器官培养、类器官模型建立、模型质控等工作。</w:t>
      </w:r>
    </w:p>
    <w:p w14:paraId="383ED378">
      <w:pPr>
        <w:ind w:firstLine="420" w:firstLineChars="200"/>
        <w:rPr>
          <w:rFonts w:hint="eastAsia"/>
        </w:rPr>
      </w:pPr>
      <w:r>
        <w:rPr>
          <w:rFonts w:hint="eastAsia"/>
        </w:rPr>
        <w:t>3.检测及分析、检测成果：在自有实验室完成类器官检测服务、药物活性成分高通量筛选服务。</w:t>
      </w:r>
    </w:p>
    <w:p w14:paraId="0E72DF3B">
      <w:pPr>
        <w:ind w:firstLine="420" w:firstLineChars="200"/>
        <w:rPr>
          <w:rFonts w:hint="eastAsia"/>
        </w:rPr>
      </w:pPr>
      <w:r>
        <w:rPr>
          <w:rFonts w:hint="eastAsia"/>
        </w:rPr>
        <w:t>4. 实验硬件要求：具备自有实验室，配备Incucyte实时细胞动态监测系统，支持实时监测药物对类器官的杀伤效应；具备高通量药物筛选平台，支持小分子药物、抗体药物、ADC药物、天然药物活性成分、中药复方等高通量筛选。场地及重要设备需提供照片佐证。</w:t>
      </w:r>
    </w:p>
    <w:p w14:paraId="7C8B6364">
      <w:pPr>
        <w:ind w:firstLine="420" w:firstLineChars="200"/>
        <w:rPr>
          <w:rFonts w:hint="eastAsia"/>
        </w:rPr>
      </w:pPr>
      <w:r>
        <w:rPr>
          <w:rFonts w:hint="eastAsia"/>
        </w:rPr>
        <w:t>5. 高通量筛选硬件标准：药物筛选通道不少于384孔，单批次可同时筛选20种以上药物成分，支持多浓度梯度药物筛选。</w:t>
      </w:r>
    </w:p>
    <w:p w14:paraId="769029C7">
      <w:pPr>
        <w:ind w:firstLine="420" w:firstLineChars="200"/>
        <w:rPr>
          <w:rFonts w:hint="eastAsia"/>
        </w:rPr>
      </w:pPr>
      <w:r>
        <w:rPr>
          <w:rFonts w:hint="eastAsia"/>
        </w:rPr>
        <w:t>6. 质量管理体系：建立完整的SOP文件体系和人员实操考核体系，模型及药物筛选实验全过程原始记录可追溯，实验数据可重复验证。</w:t>
      </w:r>
    </w:p>
    <w:p w14:paraId="130C57D6">
      <w:pPr>
        <w:ind w:firstLine="420" w:firstLineChars="200"/>
        <w:rPr>
          <w:rFonts w:hint="eastAsia"/>
        </w:rPr>
      </w:pPr>
      <w:r>
        <w:rPr>
          <w:rFonts w:hint="eastAsia"/>
        </w:rPr>
        <w:t>7. 质量要求：每支细胞数量≥30万；每例实验提供标准实验报告，包含实验流程图、图片、药物筛选数据、药物筛选结果清单等，原始数据可溯源。</w:t>
      </w:r>
    </w:p>
    <w:p w14:paraId="5A6D1571">
      <w:pPr>
        <w:rPr>
          <w:rFonts w:hint="eastAsia"/>
        </w:rPr>
      </w:pPr>
      <w:r>
        <w:rPr>
          <w:rFonts w:hint="eastAsia"/>
        </w:rPr>
        <w:t>（二）人员要求</w:t>
      </w:r>
    </w:p>
    <w:p w14:paraId="601FF489">
      <w:pPr>
        <w:ind w:firstLine="420" w:firstLineChars="200"/>
        <w:rPr>
          <w:rFonts w:hint="eastAsia"/>
        </w:rPr>
      </w:pPr>
      <w:r>
        <w:rPr>
          <w:rFonts w:hint="eastAsia"/>
        </w:rPr>
        <w:t>1. 供应商应配备专业技术服务团队，团队成员熟悉类器官培养及药物筛选应用，具备规范的实验操作和标准的药物筛选流程。</w:t>
      </w:r>
    </w:p>
    <w:p w14:paraId="6BD0B7C7">
      <w:pPr>
        <w:ind w:firstLine="420" w:firstLineChars="200"/>
        <w:rPr>
          <w:rFonts w:hint="eastAsia"/>
        </w:rPr>
      </w:pPr>
      <w:r>
        <w:rPr>
          <w:rFonts w:hint="eastAsia"/>
        </w:rPr>
        <w:t>2. 团队中配备1名技术负责人、1名专职对接人员，团队中至少有1名高级职称人员。</w:t>
      </w:r>
    </w:p>
    <w:p w14:paraId="303B8D43">
      <w:pPr>
        <w:ind w:firstLine="420" w:firstLineChars="200"/>
        <w:rPr>
          <w:rFonts w:hint="eastAsia"/>
        </w:rPr>
      </w:pPr>
      <w:r>
        <w:rPr>
          <w:rFonts w:hint="eastAsia"/>
        </w:rPr>
        <w:t>3. 项目实施期间，安排专职技术人员驻场服务，为院内团队提供5—8小时以上的技术培训。</w:t>
      </w:r>
    </w:p>
    <w:p w14:paraId="1DF21391">
      <w:pPr>
        <w:rPr>
          <w:rFonts w:hint="eastAsia"/>
        </w:rPr>
      </w:pPr>
      <w:r>
        <w:rPr>
          <w:rFonts w:hint="eastAsia"/>
        </w:rPr>
        <w:t>（三）综合服务要求</w:t>
      </w:r>
    </w:p>
    <w:p w14:paraId="1C0712A1">
      <w:pPr>
        <w:ind w:firstLine="420" w:firstLineChars="200"/>
        <w:rPr>
          <w:rFonts w:hint="eastAsia"/>
        </w:rPr>
      </w:pPr>
      <w:r>
        <w:rPr>
          <w:rFonts w:hint="eastAsia"/>
        </w:rPr>
        <w:t>1. 项目周期内提供12个月的技术支持，包括数据解读、方案优化、咨询答疑等。</w:t>
      </w:r>
    </w:p>
    <w:p w14:paraId="380D3A8F">
      <w:pPr>
        <w:ind w:firstLine="420" w:firstLineChars="200"/>
      </w:pPr>
      <w:r>
        <w:rPr>
          <w:rFonts w:hint="eastAsia"/>
        </w:rPr>
        <w:t>2. 项目结束后，提供2次回访服务，协助院内团队解决实验操作问题。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95DDB"/>
    <w:rsid w:val="0649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2026-07-29T07:44:00Z</dcterms:created>
  <dc:creator>WPS_1664416089</dc:creator>
  <cp:lastModifiedBy>WPS_1664416089</cp:lastModifiedBy>
  <dcterms:modified xsi:type="dcterms:W3CDTF">2026-07-29T07:47:04Z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2A50132CA01B4E29AA8EA2C55BA2FCBA_11</vt:lpwstr>
  </property>
  <property fmtid="{D5CDD505-2E9C-101B-9397-08002B2CF9AE}" pid="4" name="KSOTemplateDocerSaveRecord">
    <vt:lpwstr>eyJoZGlkIjoiMWNlNzZmMWVjYjhiM2U2MjVjMTU0NGMzYWE5NmQ3OGYiLCJ1c2VySWQiOiIxNDIxMTIyODE3In0=</vt:lpwstr>
  </property>
</Properties>
</file>